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1a. Demographic characteristics and co-morbidities (N = 101)</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54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Overall</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101</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Survivor</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75</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Non-survivor</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26</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p-value</w:t>
            </w:r>
            <w:r>
              <w:rPr>
                <w:rFonts w:ascii="Arial" w:hAnsi="Arial" w:eastAsia="Arial" w:cs="Arial"/>
                <w:i w:val="false"/>
                <w:b w:val="false"/>
                <w:u w:val="none"/>
                <w:strike w:val="false"/>
                <w:vertAlign w:val="superscript"/>
                <w:sz w:val="16"/>
                <w:szCs w:val="16"/>
                <w:color w:val="000000"/>
              </w:rPr>
              <w:t xml:space="preserve">2</w:t>
            </w:r>
          </w:p>
        </w:tc>
      </w:tr>
      <w:tr>
        <w:trPr>
          <w:trHeight w:val="33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Age group (years)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0.532</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30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30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30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30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0.860</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30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30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Diabetes mellitus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0.002</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Hypertension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0.789</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Ischaemic heart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0.567</w:t>
            </w:r>
          </w:p>
        </w:tc>
      </w:tr>
      <w:tr>
        <w:trPr>
          <w:trHeight w:val="34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COPD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(46.5%)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(46.7%)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(46.2%)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0.964</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vertAlign w:val="superscript"/>
                <w:sz w:val="16"/>
                <w:szCs w:val="16"/>
                <w:color w:val="000000"/>
              </w:rPr>
              <w:t xml:space="preserve">1</w:t>
            </w:r>
            <w:r>
              <w:rPr>
                <w:rFonts w:ascii="Arial" w:hAnsi="Arial" w:eastAsia="Arial" w:cs="Arial"/>
                <w:i w:val="false"/>
                <w:b w:val="false"/>
                <w:u w:val="none"/>
                <w:strike w:val="false"/>
                <w:sz w:val="16"/>
                <w:szCs w:val="16"/>
                <w:color w:val="000000"/>
              </w:rPr>
              <w:t xml:space="preserve">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vertAlign w:val="superscript"/>
                <w:sz w:val="16"/>
                <w:szCs w:val="16"/>
                <w:color w:val="000000"/>
              </w:rPr>
              <w:t xml:space="preserve">2</w:t>
            </w:r>
            <w:r>
              <w:rPr>
                <w:rFonts w:ascii="Arial" w:hAnsi="Arial" w:eastAsia="Arial" w:cs="Arial"/>
                <w:i w:val="false"/>
                <w:b w:val="false"/>
                <w:u w:val="none"/>
                <w:strike w:val="false"/>
                <w:sz w:val="16"/>
                <w:szCs w:val="16"/>
                <w:color w:val="000000"/>
              </w:rPr>
              <w:t xml:space="preserve">Fisher's exact test; Pearson's Chi-squared test</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6"/>
          <w:szCs w:val="16"/>
          <w:color w:val="000000"/>
        </w:rPr>
        <w:t xml:space="preserve">Values are median (IQR) or n (%). P values: Mann-Whitney U test for median (IQR) rows, chi-square or Fisher exact test for categorical rows. One patient with an unrecorded outcome is excluded from every panel, and one with unrecorded sex from the sex row. IQR, interquartile range.</w:t>
      </w:r>
    </w:p>
    <w:p>
      <w:pPr/>
      <w:r>
        <w:br w:type="page"/>
      </w:r>
    </w:p>
    <w:p>
      <w:pPr>
        <w:pStyle w:val="Titre1"/>
      </w:pPr>
      <w:r>
        <w:t xml:space="preserve">Table 1b. Source of infection and clinical management (N = 101)</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54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Overall</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101</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Survivor</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75</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Non-survivor</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26</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p-value</w:t>
            </w:r>
            <w:r>
              <w:rPr>
                <w:rFonts w:ascii="Arial" w:hAnsi="Arial" w:eastAsia="Arial" w:cs="Arial"/>
                <w:i w:val="false"/>
                <w:b w:val="false"/>
                <w:u w:val="none"/>
                <w:strike w:val="false"/>
                <w:vertAlign w:val="superscript"/>
                <w:sz w:val="16"/>
                <w:szCs w:val="16"/>
                <w:color w:val="000000"/>
              </w:rPr>
              <w:t xml:space="preserve">2</w:t>
            </w:r>
          </w:p>
        </w:tc>
      </w:tr>
      <w:tr>
        <w:trPr>
          <w:trHeight w:val="33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Respiratory</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(35.6%)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(37.3%)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(30.8%)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0.547</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Urinary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0.100</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Gastrointestinal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&gt;0.999</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 (26.9%)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&lt;0.001</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Skin / soft tissue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0.162</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0.450</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Antimicrobial therapy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Supplemental oxygen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0.123</w:t>
            </w:r>
          </w:p>
        </w:tc>
      </w:tr>
      <w:tr>
        <w:trPr>
          <w:trHeight w:val="34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Vasopressor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 (3.0%)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 (11.5%)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0.016</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vertAlign w:val="superscript"/>
                <w:sz w:val="16"/>
                <w:szCs w:val="16"/>
                <w:color w:val="000000"/>
              </w:rPr>
              <w:t xml:space="preserve">1</w:t>
            </w:r>
            <w:r>
              <w:rPr>
                <w:rFonts w:ascii="Arial" w:hAnsi="Arial" w:eastAsia="Arial" w:cs="Arial"/>
                <w:i w:val="false"/>
                <w:b w:val="false"/>
                <w:u w:val="none"/>
                <w:strike w:val="false"/>
                <w:sz w:val="16"/>
                <w:szCs w:val="16"/>
                <w:color w:val="000000"/>
              </w:rPr>
              <w:t xml:space="preserve">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vertAlign w:val="superscript"/>
                <w:sz w:val="16"/>
                <w:szCs w:val="16"/>
                <w:color w:val="000000"/>
              </w:rPr>
              <w:t xml:space="preserve">2</w:t>
            </w:r>
            <w:r>
              <w:rPr>
                <w:rFonts w:ascii="Arial" w:hAnsi="Arial" w:eastAsia="Arial" w:cs="Arial"/>
                <w:i w:val="false"/>
                <w:b w:val="false"/>
                <w:u w:val="none"/>
                <w:strike w:val="false"/>
                <w:sz w:val="16"/>
                <w:szCs w:val="16"/>
                <w:color w:val="000000"/>
              </w:rPr>
              <w:t xml:space="preserve">Pearson's Chi-squared test; Fisher's exact test</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6"/>
          <w:szCs w:val="16"/>
          <w:color w:val="000000"/>
        </w:rPr>
        <w:t xml:space="preserve">Source of infection is not mutually exclusive - two patients had two sites recorded, so the site rows do not sum to N. Vasopressor use is taken from a SOFA cardiovascular sub-score of 2 or more. Values are median (IQR) or n (%). P values: Mann-Whitney U test for median (IQR) rows, chi-square or Fisher exact test for categorical rows. One patient with an unrecorded outcome is excluded from every panel, and one with unrecorded sex from the sex row. IQR, interquartile range.</w:t>
      </w:r>
    </w:p>
    <w:p>
      <w:pPr/>
      <w:r>
        <w:br w:type="page"/>
      </w:r>
    </w:p>
    <w:p>
      <w:pPr>
        <w:pStyle w:val="Titre1"/>
      </w:pPr>
      <w:r>
        <w:t xml:space="preserve">Table 1c. Severity of illness scores (N = 101)</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54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Overall</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101</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Survivor</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75</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Non-survivor</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26</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p-value</w:t>
            </w:r>
            <w:r>
              <w:rPr>
                <w:rFonts w:ascii="Arial" w:hAnsi="Arial" w:eastAsia="Arial" w:cs="Arial"/>
                <w:i w:val="false"/>
                <w:b w:val="false"/>
                <w:u w:val="none"/>
                <w:strike w:val="false"/>
                <w:vertAlign w:val="superscript"/>
                <w:sz w:val="16"/>
                <w:szCs w:val="16"/>
                <w:color w:val="000000"/>
              </w:rPr>
              <w:t xml:space="preserve">2</w:t>
            </w:r>
          </w:p>
        </w:tc>
      </w:tr>
      <w:tr>
        <w:trPr>
          <w:trHeight w:val="33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NEWS, day 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8.00 (7.00-9.00)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(7.00-9.00)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(8.00-11.00)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&lt;0.001</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NEWS, day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(6.00-8.00)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6.00 (6.00-7.00)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(7.00-10.00)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&lt;0.001</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NEWS, day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(3.00-8.00)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(3.00-6.00)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10.50 (9.00-12.00)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&lt;0.001</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(3.00-5.00)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(3.00-4.00)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(4.00-8.00)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&lt;0.001</w:t>
            </w:r>
          </w:p>
        </w:tc>
      </w:tr>
      <w:tr>
        <w:trPr>
          <w:trHeight w:val="34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GCS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15.00 (14.00-15.00)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15.00 (15.00-15.00)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13.00 (12.00-15.00)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&lt;0.001</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vertAlign w:val="superscript"/>
                <w:sz w:val="16"/>
                <w:szCs w:val="16"/>
                <w:color w:val="000000"/>
              </w:rPr>
              <w:t xml:space="preserve">1</w:t>
            </w:r>
            <w:r>
              <w:rPr>
                <w:rFonts w:ascii="Arial" w:hAnsi="Arial" w:eastAsia="Arial" w:cs="Arial"/>
                <w:i w:val="false"/>
                <w:b w:val="false"/>
                <w:u w:val="none"/>
                <w:strike w:val="false"/>
                <w:sz w:val="16"/>
                <w:szCs w:val="16"/>
                <w:color w:val="000000"/>
              </w:rPr>
              <w:t xml:space="preserve">Median (Q1-Q3)</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vertAlign w:val="superscript"/>
                <w:sz w:val="16"/>
                <w:szCs w:val="16"/>
                <w:color w:val="000000"/>
              </w:rPr>
              <w:t xml:space="preserve">2</w:t>
            </w:r>
            <w:r>
              <w:rPr>
                <w:rFonts w:ascii="Arial" w:hAnsi="Arial" w:eastAsia="Arial" w:cs="Arial"/>
                <w:i w:val="false"/>
                <w:b w:val="false"/>
                <w:u w:val="none"/>
                <w:strike w:val="false"/>
                <w:sz w:val="16"/>
                <w:szCs w:val="16"/>
                <w:color w:val="000000"/>
              </w:rPr>
              <w:t xml:space="preserve">Wilcoxon rank sum test</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6"/>
          <w:szCs w:val="16"/>
          <w:color w:val="000000"/>
        </w:rPr>
        <w:t xml:space="preserve">NEWS, national early warning score; SOFA, sequential organ failure assessment; GCS, Glasgow coma scale. SOFA and GCS are day-0 values. Values are median (IQR) or n (%). P values: Mann-Whitney U test for median (IQR) rows, chi-square or Fisher exact test for categorical rows. One patient with an unrecorded outcome is excluded from every panel, and one with unrecorded sex from the sex row. IQR, interquartile range.</w:t>
      </w:r>
    </w:p>
    <w:p>
      <w:pPr/>
      <w:r>
        <w:br w:type="page"/>
      </w:r>
    </w:p>
    <w:p>
      <w:pPr>
        <w:pStyle w:val="Titre1"/>
      </w:pPr>
      <w:r>
        <w:t xml:space="preserve">Table 1d. Biochemical parameters (N = 101)</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54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Overall</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101</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Survivor</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75</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Non-survivor</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26</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p-value</w:t>
            </w:r>
            <w:r>
              <w:rPr>
                <w:rFonts w:ascii="Arial" w:hAnsi="Arial" w:eastAsia="Arial" w:cs="Arial"/>
                <w:i w:val="false"/>
                <w:b w:val="false"/>
                <w:u w:val="none"/>
                <w:strike w:val="false"/>
                <w:vertAlign w:val="superscript"/>
                <w:sz w:val="16"/>
                <w:szCs w:val="16"/>
                <w:color w:val="000000"/>
              </w:rPr>
              <w:t xml:space="preserve">2</w:t>
            </w:r>
          </w:p>
        </w:tc>
      </w:tr>
      <w:tr>
        <w:trPr>
          <w:trHeight w:val="33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Creatinine (mg/dL)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(0.86)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(0.82)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(0.92)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0.117</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Total bilirubin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 (0.81)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0.340</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PaO2/FiO2 (mmHg)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319.23 (68.70)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327.97 (60.17)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294.00 (85.25)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0.069</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ALT (U/L)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43.00 (41.00-47.00)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43.00 (41.00-46.00)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43.00 (39.00-55.00)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AST (U/L)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33.00 (32.00-37.00)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33.00 (32.00-36.00)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34.00 (32.00-38.00)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0.223</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Sodium (mmol/L)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138.00 (134.00-144.00)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138.00 (136.00-144.00)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132.50 (130.00-138.00)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&lt;0.001</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Potassium (mmol/L)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(3.80-4.70)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4.30 (3.70-4.80)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(3.80-4.30)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0.536</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Random blood glucose (mmol/L)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 (5.80-7.80)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6.30 (5.70-7.20)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7.85 (6.30-13.20)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0.001</w:t>
            </w:r>
          </w:p>
        </w:tc>
      </w:tr>
      <w:tr>
        <w:trPr>
          <w:trHeight w:val="34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Lactate (mmol/L)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 (0.50-0.91)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 (0.50-0.50)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(0.50-3.28)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&lt;0.001</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vertAlign w:val="superscript"/>
                <w:sz w:val="16"/>
                <w:szCs w:val="16"/>
                <w:color w:val="000000"/>
              </w:rPr>
              <w:t xml:space="preserve">1</w:t>
            </w:r>
            <w:r>
              <w:rPr>
                <w:rFonts w:ascii="Arial" w:hAnsi="Arial" w:eastAsia="Arial" w:cs="Arial"/>
                <w:i w:val="false"/>
                <w:b w:val="false"/>
                <w:u w:val="none"/>
                <w:strike w:val="false"/>
                <w:sz w:val="16"/>
                <w:szCs w:val="16"/>
                <w:color w:val="000000"/>
              </w:rPr>
              <w:t xml:space="preserve">Mean (SD); Median (Q1-Q3)</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vertAlign w:val="superscript"/>
                <w:sz w:val="16"/>
                <w:szCs w:val="16"/>
                <w:color w:val="000000"/>
              </w:rPr>
              <w:t xml:space="preserve">2</w:t>
            </w:r>
            <w:r>
              <w:rPr>
                <w:rFonts w:ascii="Arial" w:hAnsi="Arial" w:eastAsia="Arial" w:cs="Arial"/>
                <w:i w:val="false"/>
                <w:b w:val="false"/>
                <w:u w:val="none"/>
                <w:strike w:val="false"/>
                <w:sz w:val="16"/>
                <w:szCs w:val="16"/>
                <w:color w:val="000000"/>
              </w:rPr>
              <w:t xml:space="preserve">Welch Two Sample t-test; Wilcoxon rank sum test</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6"/>
          <w:szCs w:val="16"/>
          <w:color w:val="000000"/>
        </w:rPr>
        <w:t xml:space="preserve">Creatinine, total bilirubin and PaO2/FiO2 are mean (SD) and compared by t test, as in the reference paper; the rest are median (IQR). Values are median (IQR) or n (%). P values: Mann-Whitney U test for median (IQR) rows, chi-square or Fisher exact test for categorical rows. One patient with an unrecorded outcome is excluded from every panel, and one with unrecorded sex from the sex row. IQR, interquartile range.</w:t>
      </w:r>
    </w:p>
    <w:p>
      <w:pPr/>
      <w:r>
        <w:br w:type="page"/>
      </w:r>
    </w:p>
    <w:p>
      <w:pPr>
        <w:pStyle w:val="Titre1"/>
      </w:pPr>
      <w:r>
        <w:t xml:space="preserve">Table 1e. Haematological parameters and derived ratios (N = 101)</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54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Overall</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101</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Survivor</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75</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Non-survivor</w:t>
            </w:r>
            <w:r>
              <w:rPr>
                <w:rFonts w:ascii="Arial" w:hAnsi="Arial" w:eastAsia="Arial" w:cs="Arial"/>
                <w:i w:val="false"/>
                <w:b w:val="false"/>
                <w:u w:val="none"/>
                <w:strike w:val="false"/>
                <w:sz w:val="16"/>
                <w:szCs w:val="16"/>
                <w:color w:val="000000"/>
              </w:rPr>
              <w:t xml:space="preserve">  </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N = 26</w:t>
            </w:r>
            <w:r>
              <w:rPr>
                <w:rFonts w:ascii="Arial" w:hAnsi="Arial" w:eastAsia="Arial" w:cs="Arial"/>
                <w:i w:val="false"/>
                <w:b w:val="false"/>
                <w:u w:val="none"/>
                <w:strike w:val="false"/>
                <w:vertAlign w:val="superscript"/>
                <w:sz w:val="16"/>
                <w:szCs w:val="16"/>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true"/>
                <w:u w:val="none"/>
                <w:strike w:val="false"/>
                <w:sz w:val="16"/>
                <w:szCs w:val="16"/>
                <w:color w:val="000000"/>
              </w:rPr>
              <w:t xml:space="preserve">p-value</w:t>
            </w:r>
            <w:r>
              <w:rPr>
                <w:rFonts w:ascii="Arial" w:hAnsi="Arial" w:eastAsia="Arial" w:cs="Arial"/>
                <w:i w:val="false"/>
                <w:b w:val="false"/>
                <w:u w:val="none"/>
                <w:strike w:val="false"/>
                <w:vertAlign w:val="superscript"/>
                <w:sz w:val="16"/>
                <w:szCs w:val="16"/>
                <w:color w:val="000000"/>
              </w:rPr>
              <w:t xml:space="preserve">2</w:t>
            </w:r>
          </w:p>
        </w:tc>
      </w:tr>
      <w:tr>
        <w:trPr>
          <w:trHeight w:val="33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Neutrophil, day 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11.36 (9.75-15.99)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11.31 (9.36-13.95)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14.55 (10.47-18.50)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Neutrophil, day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11.25 (8.87-15.30)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10.83 (8.56-13.12)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13.30 (10.60-18.62)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0.020</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Neutrophil, day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10.26 (8.08-13.50)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(7.74-11.49)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14.94 (12.00-19.35)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&lt;0.001</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Lymphocyte, day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 (0.61-1.04)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 (0.61-1.06)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 (0.60-0.99)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0.641</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Lymphocyte, day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 (0.74-1.21)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 (0.74-1.21)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(0.73-1.26)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0.966</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Lymphocyte, day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(0.85-1.20)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(1.00-1.21)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 (0.57-0.99)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&lt;0.001</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Platelet, day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150.00 (130.00-190.00)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149.00 (130.00-180.00)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178.00 (115.00-211.00)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0.047</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Platelet, day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172.00 (130.00-205.00)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180.00 (150.00-205.00)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151.50 (105.00-200.00)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0.193</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Platelet, day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230.00 (182.00-280.00)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235.00 (210.00-280.00)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149.00 (95.00-190.00)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&lt;0.001</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NLR, day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16.00 (12.82-19.49)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14.95 (12.76-18.36)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18.06 (13.18-22.24)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0.094</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NLR, day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12.64 (9.69-14.83)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12.05 (9.69-14.33)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14.22 (9.88-17.80)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0.077</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NLR, day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(7.80-12.86)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8.41 (7.31-9.33)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18.00 (13.66-22.83)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&lt;0.001</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NLPR, day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10.23 (8.76-12.23)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10.51 (9.05-12.69)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9.90 (7.28-11.98)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0.527</w:t>
            </w:r>
          </w:p>
        </w:tc>
      </w:tr>
      <w:tr>
        <w:trPr>
          <w:trHeight w:val="3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NLPR, day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7.32 (6.11-9.18)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7.04 (5.96-7.89)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9.42 (8.50-10.89)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&lt;0.001</w:t>
            </w:r>
          </w:p>
        </w:tc>
      </w:tr>
      <w:tr>
        <w:trPr>
          <w:trHeight w:val="34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NLPR, day 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(6.11-8.20)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 (5.94-7.16)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10.21 (8.47-14.14)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&lt;0.001</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vertAlign w:val="superscript"/>
                <w:sz w:val="16"/>
                <w:szCs w:val="16"/>
                <w:color w:val="000000"/>
              </w:rPr>
              <w:t xml:space="preserve">1</w:t>
            </w:r>
            <w:r>
              <w:rPr>
                <w:rFonts w:ascii="Arial" w:hAnsi="Arial" w:eastAsia="Arial" w:cs="Arial"/>
                <w:i w:val="false"/>
                <w:b w:val="false"/>
                <w:u w:val="none"/>
                <w:strike w:val="false"/>
                <w:sz w:val="16"/>
                <w:szCs w:val="16"/>
                <w:color w:val="000000"/>
              </w:rPr>
              <w:t xml:space="preserve">Median (Q1-Q3)</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vertAlign w:val="superscript"/>
                <w:sz w:val="16"/>
                <w:szCs w:val="16"/>
                <w:color w:val="000000"/>
              </w:rPr>
              <w:t xml:space="preserve">2</w:t>
            </w:r>
            <w:r>
              <w:rPr>
                <w:rFonts w:ascii="Arial" w:hAnsi="Arial" w:eastAsia="Arial" w:cs="Arial"/>
                <w:i w:val="false"/>
                <w:b w:val="false"/>
                <w:u w:val="none"/>
                <w:strike w:val="false"/>
                <w:sz w:val="16"/>
                <w:szCs w:val="16"/>
                <w:color w:val="000000"/>
              </w:rPr>
              <w:t xml:space="preserve">Wilcoxon rank sum test</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6"/>
          <w:szCs w:val="16"/>
          <w:color w:val="000000"/>
        </w:rPr>
        <w:t xml:space="preserve">Neutrophil, lymphocyte and platelet counts are 10^9/L. NLR = neutrophil / lymphocyte; NLPR = NLR x 100 / platelet count. Day-3 platelet count and NLPR are missing for two patients whose recorded platelet value was implausible and was voided in cleaning. Values are median (IQR) or n (%). P values: Mann-Whitney U test for median (IQR) rows, chi-square or Fisher exact test for categorical rows. One patient with an unrecorded outcome is excluded from every panel, and one with unrecorded sex from the sex row. IQR, interquartile range.</w:t>
      </w:r>
    </w:p>
    <w:p>
      <w:pPr/>
      <w:r>
        <w:br w:type="page"/>
      </w:r>
    </w:p>
    <w:p>
      <w:pPr>
        <w:pStyle w:val="Titre1"/>
      </w:pPr>
      <w:r>
        <w:t xml:space="preserve">Table 2. Multivariable logistic regression exploring the association of NEWS (d5) with in-hospital mortality</w:t>
      </w:r>
    </w:p>
    <w:tbl xmlns:a="http://schemas.openxmlformats.org/drawingml/2006/main" xmlns:pic="http://schemas.openxmlformats.org/drawingml/2006/picture">
      <w:tblPr>
        <w:tblLayout w:type="fixed"/>
        <w:jc w:val="center"/>
        <w:tblLook w:firstRow="1" w:lastRow="0" w:firstColumn="0" w:lastColumn="0" w:noHBand="0" w:noVBand="1"/>
      </w:tblPr>
      <w:tblGrid>
        <w:gridCol w:w="1980"/>
        <w:gridCol w:w="1204"/>
        <w:gridCol w:w="1570"/>
        <w:gridCol w:w="860"/>
      </w:tblGrid>
      <w:tr>
        <w:trPr>
          <w:trHeight w:val="51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Factor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Odds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w:t>
            </w:r>
          </w:p>
        </w:tc>
      </w:tr>
      <w:tr>
        <w:trPr>
          <w:trHeight w:val="48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NEWS (d5)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1.838-47.614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&lt;0.001</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Sex (male gender)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0.013-3.682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0.325</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 40-59 y (vs &lt;40)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0.046-11.850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0.676</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 60-74 y (vs &lt;40)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&lt;0.001-470.095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0.976</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 75+ y (vs &lt;40)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&lt;0.001-&gt;1000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0.169</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SOFA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1.809-52.768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&lt;0.001</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6"/>
          <w:szCs w:val="16"/>
          <w:color w:val="000000"/>
        </w:rPr>
        <w:t xml:space="preserve">Firth penalized-likelihood logistic regression with profile-likelihood confidence intervals, used because both NEWS (d5) and NLPR (d5) separate the two outcome groups completely and ordinary maximum likelihood does not converge. Adjusted for sex, age group and SOFA, with age &lt;40 years as the reference group. The APACHE II term of the reference paper has no counterpart here and is omitted: APACHE II was not recorded in this study. A confidence bound shown as "&gt;1000" or "&lt;0.001" is not estimable: the profile likelihood is flat in that direction once a perfect separator is in the model. Female sex is the reference category. CI, confidence interval.</w:t>
      </w:r>
    </w:p>
    <w:p>
      <w:pPr>
        <w:pStyle w:val=""/>
      </w:pPr>
      <w:r>
        <w:t xml:space="preserve"/>
      </w:r>
    </w:p>
    <w:p>
      <w:pPr>
        <w:pStyle w:val="Titre1"/>
      </w:pPr>
      <w:r>
        <w:t xml:space="preserve">Table 3. Multivariable logistic regression exploring the association of NLPR (d5) with in-hospital mortality</w:t>
      </w:r>
    </w:p>
    <w:tbl xmlns:a="http://schemas.openxmlformats.org/drawingml/2006/main" xmlns:pic="http://schemas.openxmlformats.org/drawingml/2006/picture">
      <w:tblPr>
        <w:tblLayout w:type="fixed"/>
        <w:jc w:val="center"/>
        <w:tblLook w:firstRow="1" w:lastRow="0" w:firstColumn="0" w:lastColumn="0" w:noHBand="0" w:noVBand="1"/>
      </w:tblPr>
      <w:tblGrid>
        <w:gridCol w:w="1980"/>
        <w:gridCol w:w="1204"/>
        <w:gridCol w:w="1465"/>
        <w:gridCol w:w="860"/>
      </w:tblGrid>
      <w:tr>
        <w:trPr>
          <w:trHeight w:val="51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Factor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Odds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w:t>
            </w:r>
          </w:p>
        </w:tc>
      </w:tr>
      <w:tr>
        <w:trPr>
          <w:trHeight w:val="48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NLPR (d5)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3.610-19.296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&lt;0.001</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Sex (male gender)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1.047-293.351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0.045</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 40-59 y (vs &lt;40)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0.007-0.926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0.044</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 60-74 y (vs &lt;40)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0.324-9.931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0.694</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 75+ y (vs &lt;40)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&lt;0.001-0.705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0.036</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SOFA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1.367-6.665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0.002</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6"/>
          <w:szCs w:val="16"/>
          <w:color w:val="000000"/>
        </w:rPr>
        <w:t xml:space="preserve">Firth penalized-likelihood logistic regression with profile-likelihood confidence intervals, used because both NEWS (d5) and NLPR (d5) separate the two outcome groups completely and ordinary maximum likelihood does not converge. Adjusted for sex, age group and SOFA, with age &lt;40 years as the reference group. The APACHE II term of the reference paper has no counterpart here and is omitted: APACHE II was not recorded in this study. A confidence bound shown as "&gt;1000" or "&lt;0.001" is not estimable: the profile likelihood is flat in that direction once a perfect separator is in the model. Female sex is the reference category. CI, confidence interval.</w:t>
      </w:r>
    </w:p>
    <w:p>
      <w:pPr/>
      <w:r>
        <w:br w:type="page"/>
      </w:r>
    </w:p>
    <w:p>
      <w:pPr>
        <w:pStyle w:val="Titre1"/>
      </w:pPr>
      <w:r>
        <w:t xml:space="preserve">Table 4. Predictive value of NEWS and NLPR at different time points for in-hospital mortality of sepsis patients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Cut-off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PPV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NPV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NEWS (d1)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0.619-0.854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NEWS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0.696-0.910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NEWS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0.900-0.990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NLPR (d1)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0.317-0.599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NLPR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0.625-0.877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NLPR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0.901-0.994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NLPR (d5) &amp; age &amp; SOFA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0.978-1.000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6"/>
          <w:szCs w:val="16"/>
          <w:color w:val="000000"/>
        </w:rPr>
        <w:t xml:space="preserve">Cut-off is the Youden-optimal point. NEWS is an integer score, so its cut-off falls between two whole numbers. The AUC confidence interval and the test of AUC = 0.5 use the DeLong method; where the AUC is exactly 1 that variance is zero and the equivalent exact Mann-Whitney test is reported instead. The combined row is on the predicted-probability scale of a Firth logistic model containing NLPR (d5), age group and SOFA; at that cut-off, for the &lt;40 year age group and SOFA at its median (4), the corresponding NLPR (d5) is 7.82. PPV and NPV are evaluated at the same cut-off and therefore embed this cohort's in-hospital mortality of 25.7% as the prior; they do not transfer to a population with a different death rate, whereas sensitivity, specificity and the AUC do. AUC, area under the ROC curve; CI, confidence interval; PPV, positive predictive value; NPV, negative predictive value.</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2026-09-05T16:40:23Z</dcterms:modified>
  <cp:category/>
</cp:coreProperties>
</file>