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1</w:t>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Patient characteristics and clinical subtype by MBC type</w:t>
      </w:r>
    </w:p>
    <w:tbl xmlns:a="http://schemas.openxmlformats.org/drawingml/2006/main" xmlns:pic="http://schemas.openxmlformats.org/drawingml/2006/picture">
      <w:tblPr>
        <w:tblLayout w:type="fixed"/>
        <w:jc w:val="center"/>
        <w:tblLook w:firstRow="1" w:lastRow="0" w:firstColumn="0" w:lastColumn="0" w:noHBand="0" w:noVBand="1"/>
      </w:tblPr>
      <w:tblGrid>
        <w:gridCol w:w="2683"/>
        <w:gridCol w:w="1426"/>
        <w:gridCol w:w="1963"/>
        <w:gridCol w:w="2134"/>
        <w:gridCol w:w="1242"/>
      </w:tblGrid>
      <w:tr>
        <w:trPr>
          <w:trHeight w:val="508" w:hRule="auto"/>
          <w:tblHeader/>
        </w:trPr>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MBC Type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t>
            </w:r>
          </w:p>
        </w:tc>
      </w:tr>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Overall</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sz w:val="22"/>
                <w:szCs w:val="22"/>
                <w:color w:val="000000"/>
              </w:rPr>
              <w:br/>
            </w:r>
            <w:r>
              <w:rPr>
                <w:rFonts w:ascii="Arial" w:hAnsi="Arial" w:eastAsia="Arial" w:cs="Arial"/>
                <w:i w:val="false"/>
                <w:b w:val="false"/>
                <w:u w:val="none"/>
                <w:strike w:val="false"/>
                <w:sz w:val="22"/>
                <w:szCs w:val="22"/>
                <w:color w:val="000000"/>
              </w:rPr>
              <w:t xml:space="preserve">N = 135</w:t>
            </w:r>
            <w:r>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De novo MBC</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sz w:val="22"/>
                <w:szCs w:val="22"/>
                <w:color w:val="000000"/>
              </w:rPr>
              <w:br/>
            </w:r>
            <w:r>
              <w:rPr>
                <w:rFonts w:ascii="Arial" w:hAnsi="Arial" w:eastAsia="Arial" w:cs="Arial"/>
                <w:i w:val="false"/>
                <w:b w:val="false"/>
                <w:u w:val="none"/>
                <w:strike w:val="false"/>
                <w:sz w:val="22"/>
                <w:szCs w:val="22"/>
                <w:color w:val="000000"/>
              </w:rPr>
              <w:t xml:space="preserve">N = 63</w:t>
            </w:r>
            <w:r>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Recurrent MBC</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sz w:val="22"/>
                <w:szCs w:val="22"/>
                <w:color w:val="000000"/>
              </w:rPr>
              <w:br/>
            </w:r>
            <w:r>
              <w:rPr>
                <w:rFonts w:ascii="Arial" w:hAnsi="Arial" w:eastAsia="Arial" w:cs="Arial"/>
                <w:i w:val="false"/>
                <w:b w:val="false"/>
                <w:u w:val="none"/>
                <w:strike w:val="false"/>
                <w:sz w:val="22"/>
                <w:szCs w:val="22"/>
                <w:color w:val="000000"/>
              </w:rPr>
              <w:t xml:space="preserve">N = 72</w:t>
            </w:r>
            <w:r>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p-value</w:t>
            </w:r>
            <w:r>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Age group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0.173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&lt;35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Residence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0.071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116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66 (92%)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Education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Illiterate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 or less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44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&gt;5-10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&gt;10-12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Graduate and 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Monthly income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&lt;5000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5001-10000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91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51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10001-15000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Smoking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Ex-smoker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Not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130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68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ER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87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PR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0.131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71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39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HER2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36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Clinical subtype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0.881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Tumour grade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39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Surgery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Mastectomy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77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Lumpectomy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Biopsy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47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 (8.1%)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 (16%)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 (1.4%)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vertAlign w:val="superscript"/>
                <w:sz w:val="22"/>
                <w:szCs w:val="22"/>
                <w:color w:val="000000"/>
              </w:rPr>
              <w:t xml:space="preserve">1</w:t>
            </w:r>
            <w:r>
              <w:rPr>
                <w:rFonts w:ascii="Arial" w:hAnsi="Arial" w:eastAsia="Arial" w:cs="Arial"/>
                <w:i w:val="false"/>
                <w:b w:val="false"/>
                <w:u w:val="none"/>
                <w:strike w:val="false"/>
                <w:sz w:val="22"/>
                <w:szCs w:val="22"/>
                <w:color w:val="000000"/>
              </w:rPr>
              <w:t xml:space="preserve">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vertAlign w:val="superscript"/>
                <w:sz w:val="22"/>
                <w:szCs w:val="22"/>
                <w:color w:val="000000"/>
              </w:rPr>
              <w:t xml:space="preserve">2</w:t>
            </w:r>
            <w:r>
              <w:rPr>
                <w:rFonts w:ascii="Arial" w:hAnsi="Arial" w:eastAsia="Arial" w:cs="Arial"/>
                <w:i w:val="false"/>
                <w:b w:val="false"/>
                <w:u w:val="none"/>
                <w:strike w:val="false"/>
                <w:sz w:val="22"/>
                <w:szCs w:val="22"/>
                <w:color w:val="000000"/>
              </w:rPr>
              <w:t xml:space="preserve">Pearson's Chi-squared test</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Chi-square test. Clinical subtype is derived from ER, PR and HER2, so HER2-positive (61) equals HR+/HER2+ (43) plus HR-/HER2+ (18); the subtype column used previously was imputed as a separate variable and contradicted the receptors in 53 of 135 patients. ER, PR and HER2 were missing for 83, 83 and 86 patients respectively and are multiply imputed, so receptor and subtype frequencies should be read with that in mind. Every cross-check behind this table is logged in ../V3/doc/cleaning_log.txt. The chi-square approximation is unreliable for education, income, smoking, and tumour grade, where an expected cell count falls below 5; those p-values are approximate and an exact test would be preferable.</w:t>
      </w:r>
    </w:p>
    <w:p>
      <w:pPr>
        <w:pStyle w:val=""/>
      </w:pPr>
      <w:r>
        <w:t xml:space="preserve"/>
      </w:r>
    </w:p>
    <w:p>
      <w:pPr>
        <w:pStyle w:val="Titre1"/>
      </w:pPr>
      <w:r>
        <w:t xml:space="preserve">Table 2</w:t>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Disease and metastasis characteristics by MBC type</w:t>
      </w:r>
    </w:p>
    <w:tbl xmlns:a="http://schemas.openxmlformats.org/drawingml/2006/main" xmlns:pic="http://schemas.openxmlformats.org/drawingml/2006/picture">
      <w:tblPr>
        <w:tblLayout w:type="fixed"/>
        <w:jc w:val="center"/>
        <w:tblLook w:firstRow="1" w:lastRow="0" w:firstColumn="0" w:lastColumn="0" w:noHBand="0" w:noVBand="1"/>
      </w:tblPr>
      <w:tblGrid>
        <w:gridCol w:w="3662"/>
        <w:gridCol w:w="1364"/>
        <w:gridCol w:w="1963"/>
        <w:gridCol w:w="2134"/>
        <w:gridCol w:w="1242"/>
      </w:tblGrid>
      <w:tr>
        <w:trPr>
          <w:trHeight w:val="508" w:hRule="auto"/>
          <w:tblHeader/>
        </w:trPr>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MBC Type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t>
            </w:r>
          </w:p>
        </w:tc>
      </w:tr>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Disease 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Overall</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sz w:val="22"/>
                <w:szCs w:val="22"/>
                <w:color w:val="000000"/>
              </w:rPr>
              <w:br/>
            </w:r>
            <w:r>
              <w:rPr>
                <w:rFonts w:ascii="Arial" w:hAnsi="Arial" w:eastAsia="Arial" w:cs="Arial"/>
                <w:i w:val="false"/>
                <w:b w:val="false"/>
                <w:u w:val="none"/>
                <w:strike w:val="false"/>
                <w:sz w:val="22"/>
                <w:szCs w:val="22"/>
                <w:color w:val="000000"/>
              </w:rPr>
              <w:t xml:space="preserve">N = 135</w:t>
            </w:r>
            <w:r>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De novo MBC</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sz w:val="22"/>
                <w:szCs w:val="22"/>
                <w:color w:val="000000"/>
              </w:rPr>
              <w:br/>
            </w:r>
            <w:r>
              <w:rPr>
                <w:rFonts w:ascii="Arial" w:hAnsi="Arial" w:eastAsia="Arial" w:cs="Arial"/>
                <w:i w:val="false"/>
                <w:b w:val="false"/>
                <w:u w:val="none"/>
                <w:strike w:val="false"/>
                <w:sz w:val="22"/>
                <w:szCs w:val="22"/>
                <w:color w:val="000000"/>
              </w:rPr>
              <w:t xml:space="preserve">N = 63</w:t>
            </w:r>
            <w:r>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Recurrent MBC</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sz w:val="22"/>
                <w:szCs w:val="22"/>
                <w:color w:val="000000"/>
              </w:rPr>
              <w:br/>
            </w:r>
            <w:r>
              <w:rPr>
                <w:rFonts w:ascii="Arial" w:hAnsi="Arial" w:eastAsia="Arial" w:cs="Arial"/>
                <w:i w:val="false"/>
                <w:b w:val="false"/>
                <w:u w:val="none"/>
                <w:strike w:val="false"/>
                <w:sz w:val="22"/>
                <w:szCs w:val="22"/>
                <w:color w:val="000000"/>
              </w:rPr>
              <w:t xml:space="preserve">N = 72</w:t>
            </w:r>
            <w:r>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p-value</w:t>
            </w:r>
            <w:r>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Metastatic burden (no. of sites)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 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48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&gt;3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Lung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0.531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Liver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Brain (CNS)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&gt;0.999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Bone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63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Opposite breast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&gt;0.999</w:t>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Other 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 (10%)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 (11%)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 (9.7%)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&gt;0.999</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vertAlign w:val="superscript"/>
                <w:sz w:val="22"/>
                <w:szCs w:val="22"/>
                <w:color w:val="000000"/>
              </w:rPr>
              <w:t xml:space="preserve">1</w:t>
            </w:r>
            <w:r>
              <w:rPr>
                <w:rFonts w:ascii="Arial" w:hAnsi="Arial" w:eastAsia="Arial" w:cs="Arial"/>
                <w:i w:val="false"/>
                <w:b w:val="false"/>
                <w:u w:val="none"/>
                <w:strike w:val="false"/>
                <w:sz w:val="22"/>
                <w:szCs w:val="22"/>
                <w:color w:val="000000"/>
              </w:rPr>
              <w:t xml:space="preserve">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vertAlign w:val="superscript"/>
                <w:sz w:val="22"/>
                <w:szCs w:val="22"/>
                <w:color w:val="000000"/>
              </w:rPr>
              <w:t xml:space="preserve">2</w:t>
            </w:r>
            <w:r>
              <w:rPr>
                <w:rFonts w:ascii="Arial" w:hAnsi="Arial" w:eastAsia="Arial" w:cs="Arial"/>
                <w:i w:val="false"/>
                <w:b w:val="false"/>
                <w:u w:val="none"/>
                <w:strike w:val="false"/>
                <w:sz w:val="22"/>
                <w:szCs w:val="22"/>
                <w:color w:val="000000"/>
              </w:rPr>
              <w:t xml:space="preserve">Pearson's Chi-squared test</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Chi-square test. Metastatic sites are taken from each patient's recorded site list using the questionnaire codes (1 lung, 2 brain, 3 liver, 4 bone, 5 opposite breast, 6 other). Brain and liver were transposed in the previous version of this table: brain metastasis is 13 (9.6%), not 55, and liver is 55 (40.7%), not 14. Metastatic burden is counted from the same site list. The chi-square approximation is unreliable for metastatic burden, where an expected cell count falls below 5; those p-values are approximate and an exact test would be preferable.</w:t>
      </w:r>
    </w:p>
    <w:p>
      <w:pPr>
        <w:pStyle w:val=""/>
      </w:pPr>
      <w:r>
        <w:t xml:space="preserve"/>
      </w:r>
    </w:p>
    <w:p>
      <w:pPr>
        <w:pStyle w:val="Titre1"/>
      </w:pPr>
      <w:r>
        <w:t xml:space="preserve">Table 3</w:t>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Treatment patterns by MBC type</w:t>
      </w:r>
    </w:p>
    <w:tbl xmlns:a="http://schemas.openxmlformats.org/drawingml/2006/main" xmlns:pic="http://schemas.openxmlformats.org/drawingml/2006/picture">
      <w:tblPr>
        <w:tblLayout w:type="fixed"/>
        <w:jc w:val="center"/>
        <w:tblLook w:firstRow="1" w:lastRow="0" w:firstColumn="0" w:lastColumn="0" w:noHBand="0" w:noVBand="1"/>
      </w:tblPr>
      <w:tblGrid>
        <w:gridCol w:w="3296"/>
        <w:gridCol w:w="1426"/>
        <w:gridCol w:w="1963"/>
        <w:gridCol w:w="2134"/>
        <w:gridCol w:w="1242"/>
      </w:tblGrid>
      <w:tr>
        <w:trPr>
          <w:trHeight w:val="508" w:hRule="auto"/>
          <w:tblHeader/>
        </w:trPr>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MBC Type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t>
            </w:r>
          </w:p>
        </w:tc>
      </w:tr>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Treatment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Overall</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sz w:val="22"/>
                <w:szCs w:val="22"/>
                <w:color w:val="000000"/>
              </w:rPr>
              <w:br/>
            </w:r>
            <w:r>
              <w:rPr>
                <w:rFonts w:ascii="Arial" w:hAnsi="Arial" w:eastAsia="Arial" w:cs="Arial"/>
                <w:i w:val="false"/>
                <w:b w:val="false"/>
                <w:u w:val="none"/>
                <w:strike w:val="false"/>
                <w:sz w:val="22"/>
                <w:szCs w:val="22"/>
                <w:color w:val="000000"/>
              </w:rPr>
              <w:t xml:space="preserve">N = 135</w:t>
            </w:r>
            <w:r>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De novo MBC</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sz w:val="22"/>
                <w:szCs w:val="22"/>
                <w:color w:val="000000"/>
              </w:rPr>
              <w:br/>
            </w:r>
            <w:r>
              <w:rPr>
                <w:rFonts w:ascii="Arial" w:hAnsi="Arial" w:eastAsia="Arial" w:cs="Arial"/>
                <w:i w:val="false"/>
                <w:b w:val="false"/>
                <w:u w:val="none"/>
                <w:strike w:val="false"/>
                <w:sz w:val="22"/>
                <w:szCs w:val="22"/>
                <w:color w:val="000000"/>
              </w:rPr>
              <w:t xml:space="preserve">N = 63</w:t>
            </w:r>
            <w:r>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Recurrent MBC</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sz w:val="22"/>
                <w:szCs w:val="22"/>
                <w:color w:val="000000"/>
              </w:rPr>
              <w:br/>
            </w:r>
            <w:r>
              <w:rPr>
                <w:rFonts w:ascii="Arial" w:hAnsi="Arial" w:eastAsia="Arial" w:cs="Arial"/>
                <w:i w:val="false"/>
                <w:b w:val="false"/>
                <w:u w:val="none"/>
                <w:strike w:val="false"/>
                <w:sz w:val="22"/>
                <w:szCs w:val="22"/>
                <w:color w:val="000000"/>
              </w:rPr>
              <w:t xml:space="preserve">N = 72</w:t>
            </w:r>
            <w:r>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p-value</w:t>
            </w:r>
            <w:r>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Any systemic treatment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131 (97%)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 (98%)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69 (96%)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Chemotherapy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125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59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66 (92%)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Hormonal therapy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Targeted therapy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Palliative radiotherapy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0.740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Zoledronic acid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Delay in treatment initiation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56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0.898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Symptomatic response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48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Radiological response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0.635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Progressive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Partial response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Complete response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Treatment adherence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&gt;0.999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Non Adherent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Adherent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73 (54%)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 (54%)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39 (54%)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vertAlign w:val="superscript"/>
                <w:sz w:val="22"/>
                <w:szCs w:val="22"/>
                <w:color w:val="000000"/>
              </w:rPr>
              <w:t xml:space="preserve">1</w:t>
            </w:r>
            <w:r>
              <w:rPr>
                <w:rFonts w:ascii="Arial" w:hAnsi="Arial" w:eastAsia="Arial" w:cs="Arial"/>
                <w:i w:val="false"/>
                <w:b w:val="false"/>
                <w:u w:val="none"/>
                <w:strike w:val="false"/>
                <w:sz w:val="22"/>
                <w:szCs w:val="22"/>
                <w:color w:val="000000"/>
              </w:rPr>
              <w:t xml:space="preserve">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vertAlign w:val="superscript"/>
                <w:sz w:val="22"/>
                <w:szCs w:val="22"/>
                <w:color w:val="000000"/>
              </w:rPr>
              <w:t xml:space="preserve">2</w:t>
            </w:r>
            <w:r>
              <w:rPr>
                <w:rFonts w:ascii="Arial" w:hAnsi="Arial" w:eastAsia="Arial" w:cs="Arial"/>
                <w:i w:val="false"/>
                <w:b w:val="false"/>
                <w:u w:val="none"/>
                <w:strike w:val="false"/>
                <w:sz w:val="22"/>
                <w:szCs w:val="22"/>
                <w:color w:val="000000"/>
              </w:rPr>
              <w:t xml:space="preserve">Pearson's Chi-squared test</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Chi-square test. Hormone therapy counts a patient as treated if endocrine therapy appears either in treatment ever received or in current active treatment: 42 patients (31.1%), where the previous version counted the former only and reported 20. No hormone-receptor-negative patient is counted as treated. Targeted therapy and zoledronic acid are carried over unchanged and remain unverified: the questionnaire assigns code 6 to targeted therapy and defines no code for zoledronic acid, while these columns were built from codes 5 and 6 respectively. The chi-square approximation is unreliable for any systemic treatment and chemotherapy, where an expected cell count falls below 5; those p-values are approximate and an exact test would be preferable.</w:t>
      </w:r>
    </w:p>
    <w:p>
      <w:pPr>
        <w:pStyle w:val=""/>
      </w:pPr>
      <w:r>
        <w:t xml:space="preserve"/>
      </w:r>
    </w:p>
    <w:p>
      <w:pPr>
        <w:pStyle w:val="Titre1"/>
      </w:pPr>
      <w:r>
        <w:t xml:space="preserve">Table 4</w:t>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Median overall survival and hazard ratios - de novo vs. Recurrent MBC</w:t>
      </w:r>
    </w:p>
    <w:tbl xmlns:a="http://schemas.openxmlformats.org/drawingml/2006/main" xmlns:pic="http://schemas.openxmlformats.org/drawingml/2006/picture">
      <w:tblPr>
        <w:tblLayout w:type="fixed"/>
        <w:jc w:val="center"/>
        <w:tblLook w:firstRow="1" w:lastRow="0" w:firstColumn="0" w:lastColumn="0" w:noHBand="0" w:noVBand="1"/>
      </w:tblPr>
      <w:tblGrid>
        <w:gridCol w:w="1988"/>
        <w:gridCol w:w="1927"/>
        <w:gridCol w:w="655"/>
        <w:gridCol w:w="2440"/>
        <w:gridCol w:w="2013"/>
        <w:gridCol w:w="1364"/>
        <w:gridCol w:w="2221"/>
        <w:gridCol w:w="1120"/>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Clinical Subtype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Median OS (months)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 (unadjusted)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 (unadj.)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 (adjusted)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 (adj.)</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Overall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De novo MBC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Recurrent MBC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0.50 (0.27-0.95)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0.47 (0.22-1.00)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De novo MBC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Recurrent MBC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0.75 (0.25-2.24)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1.15 (0.27-4.89)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0.849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De novo MBC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Recurrent MBC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0.67 (0.22-2.01)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0.96 (0.18-5.22)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0.965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De novo MBC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Recurrent MBC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0.13 (0.02-0.80)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 (0.00-Inf)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0.991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De novo MBC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Recurrent MBC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0.33 (0.06-1.69)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2.62 (0.06-111.87)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0.615</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Cox proportional-hazards regression, de novo MBC as reference; adjusted for age group, metastatic burden, residence, education, tumour grade and any systemic treatment. Deaths (n = 39) are taken from the recorded current disease status.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CAUTION: for the 96 patients who had not died, the survival time used here is the interval from first symptom to metastasis, not time under observation after metastasis, and loss to follow-up is not recorded anywhere in the dataset. This is inherited from the delivered data and needs a last-contact date to correct. The hazard ratios and the Kaplan-Meier figures should not be published until it is fixed.</w:t>
      </w:r>
    </w:p>
    <w:p>
      <w:pPr>
        <w:pStyle w:val=""/>
      </w:pPr>
      <w:r>
        <w:t xml:space="preserve"/>
      </w:r>
    </w:p>
    <w:p>
      <w:pPr>
        <w:pStyle w:val="Titre1"/>
      </w:pPr>
      <w:r>
        <w:t xml:space="preserve">Table 5</w:t>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 Hazard ratios by MBC type and prior disease stage</w:t>
      </w:r>
    </w:p>
    <w:tbl xmlns:a="http://schemas.openxmlformats.org/drawingml/2006/main" xmlns:pic="http://schemas.openxmlformats.org/drawingml/2006/picture">
      <w:tblPr>
        <w:tblLayout w:type="fixed"/>
        <w:jc w:val="center"/>
        <w:tblLook w:firstRow="1" w:lastRow="0" w:firstColumn="0" w:lastColumn="0" w:noHBand="0" w:noVBand="1"/>
      </w:tblPr>
      <w:tblGrid>
        <w:gridCol w:w="3355"/>
        <w:gridCol w:w="839"/>
        <w:gridCol w:w="1389"/>
        <w:gridCol w:w="1181"/>
      </w:tblGrid>
      <w:tr>
        <w:trPr>
          <w:trHeight w:val="50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Group</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HR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MBC group / prior stage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De novo MBC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Recurrent - Prior 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0.15, 0.95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0.038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Recurrent - Prior Stage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0.077</w:t>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Recurrent - Stage unknown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Abbreviations: CI = Confidence Interval, HR = Hazard Ratio</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Prior stage is recorded for all 72 patients with recurrent MBC and is undefined for de novo disease, except for 1 patient classified as de novo who also carries a prior stage. Stage values are the investigators' re-coded ones and differ from the previously delivered run in nine patients. The same survival-time caution as Table 4 applies.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2026-09-15T04:49:47Z</dcterms:modified>
  <cp:category/>
</cp:coreProperties>
</file>