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1. Patient and disease characteristics</w:t>
      </w:r>
    </w:p>
    <w:tbl xmlns:a="http://schemas.openxmlformats.org/drawingml/2006/main" xmlns:pic="http://schemas.openxmlformats.org/drawingml/2006/picture">
      <w:tblPr>
        <w:tblLayout w:type="fixed"/>
        <w:jc w:val="center"/>
        <w:tblLook w:firstRow="1" w:lastRow="0" w:firstColumn="0" w:lastColumn="0" w:noHBand="0" w:noVBand="1"/>
      </w:tblPr>
      <w:tblGrid>
        <w:gridCol w:w="3663"/>
        <w:gridCol w:w="1426"/>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N = 135</w:t>
            </w:r>
            <w:r>
              <w:rPr>
                <w:rFonts w:ascii="Arial" w:hAnsi="Arial" w:eastAsia="Arial" w:cs="Arial"/>
                <w:i w:val="false"/>
                <w:b w:val="false"/>
                <w:u w:val="none"/>
                <w:strike w:val="false"/>
                <w:vertAlign w:val="superscript"/>
                <w:sz w:val="22"/>
                <w:szCs w:val="22"/>
                <w:color w:val="000000"/>
              </w:rPr>
              <w:t xml:space="preserve">1</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Age (years)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 (34%)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 (33%)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&gt;10-12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(7.4%)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&gt;5-10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41 (30%)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Graduate and above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Illiterate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 (27%)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Family history of breast cancer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133 (99%)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Molecular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 (32%)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(18%)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ER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87 (64%)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PR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 (53%)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HER2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 (55%)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MBC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 novo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 (53%)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Menopause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54 (40%)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Histology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Infiltrating duct cell 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 (90%)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Lobular cell 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Infiltrating adenocarcinoma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(1.5%)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Invasive 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(4.4%)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(6.7%)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 (48%)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 (39%)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 (41%)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(9.6%)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Opposite-breast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 (10%)</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Other 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 (10%)</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Metastatic sites are derived from the recorded site list using the questionnaire codes (1 lung, 2 brain, 3 liver, 4 bone, 5 opposite breast, 6 others). Brain and liver, and other-site and opposite-breast, were transposed in the previous version of this table.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Molecular subtype is derived from ER, PR and HER2, so HER2-positive equals HR+/HER2+ plus HR-/HER2+ (61). ER, PR and HER2 were missing for 83, 83 and 86 of 135 patients respectively and are multiply imputed; receptor and subtype frequencies should be read with that in mind.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Histology: duct cell carcinoma and infiltrating duct cell carcinoma are reported as one category at the investigators' instruction; lobular, infiltrating adenocarcinoma and invasive carcinoma are reported separately.</w:t>
      </w:r>
    </w:p>
    <w:p>
      <w:pPr>
        <w:pStyle w:val=""/>
      </w:pPr>
      <w:r>
        <w:t xml:space="preserve"/>
      </w:r>
    </w:p>
    <w:p>
      <w:pPr>
        <w:pStyle w:val="Titre1"/>
      </w:pPr>
      <w:r>
        <w:t xml:space="preserve">Table 2. Treatment and disease-course details</w:t>
      </w:r>
    </w:p>
    <w:tbl xmlns:a="http://schemas.openxmlformats.org/drawingml/2006/main" xmlns:pic="http://schemas.openxmlformats.org/drawingml/2006/picture">
      <w:tblPr>
        <w:tblLayout w:type="fixed"/>
        <w:jc w:val="center"/>
        <w:tblLook w:firstRow="1" w:lastRow="0" w:firstColumn="0" w:lastColumn="0" w:noHBand="0" w:noVBand="1"/>
      </w:tblPr>
      <w:tblGrid>
        <w:gridCol w:w="3186"/>
        <w:gridCol w:w="1426"/>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N = 135</w:t>
            </w:r>
            <w:r>
              <w:rPr>
                <w:rFonts w:ascii="Arial" w:hAnsi="Arial" w:eastAsia="Arial" w:cs="Arial"/>
                <w:i w:val="false"/>
                <w:b w:val="false"/>
                <w:u w:val="none"/>
                <w:strike w:val="false"/>
                <w:vertAlign w:val="superscript"/>
                <w:sz w:val="22"/>
                <w:szCs w:val="22"/>
                <w:color w:val="000000"/>
              </w:rPr>
              <w:t xml:space="preserve">1</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Surgery</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Mastectomy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 (78%)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Lumpectomy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Biopsy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Chemotherapy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 (93%)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Hormone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 (31%)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Targeted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(8.9%)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Zoledronic acid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82 (61%)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Delayed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 (41%)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 (46%)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 (54%)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Follow-up attendance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 (55%)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Irregular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Current disease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Alive with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79 (59%)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Disease free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(13%)</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Death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 (29%)</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Hormone-therapy uptake among HR+ cases: 39/93 (41.9%).</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Targeted-therapy uptake among HER2+ cases: 5/61 (8.2%).</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Hormone therapy counts a patient as treated if endocrine therapy appears either in treatment ever received or in current active treatment; the previous version used the former only and reported 20 instead of 42. No hormone-receptor-negative patient is counted as treated under either definition.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Targeted therapy and zoledronic acid are carried over unchanged and remain UNVERIFIED: the questionnaire assigns code 6 to targeted therapy and defines no code for zoledronic acid, while these columns were built from code 5 and code 6 respectively.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Follow-up attendance is shown for completeness only. Loss to follow-up is not recorded in this dataset, and the attendance variable conflicts with the recorded reasons for irregular attendance, so it is not used in any model.</w:t>
      </w:r>
    </w:p>
    <w:p>
      <w:pPr>
        <w:pStyle w:val=""/>
      </w:pPr>
      <w:r>
        <w:t xml:space="preserve"/>
      </w:r>
    </w:p>
    <w:p>
      <w:pPr>
        <w:pStyle w:val="Titre1"/>
      </w:pPr>
      <w:r>
        <w:t xml:space="preserve">Table 2b. Recurrence detail (recurrent MBC only)</w:t>
      </w:r>
    </w:p>
    <w:tbl xmlns:a="http://schemas.openxmlformats.org/drawingml/2006/main" xmlns:pic="http://schemas.openxmlformats.org/drawingml/2006/picture">
      <w:tblPr>
        <w:tblLayout w:type="fixed"/>
        <w:jc w:val="center"/>
        <w:tblLook w:firstRow="1" w:lastRow="0" w:firstColumn="0" w:lastColumn="0" w:noHBand="0" w:noVBand="1"/>
      </w:tblPr>
      <w:tblGrid>
        <w:gridCol w:w="4590"/>
        <w:gridCol w:w="1303"/>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N = 72</w:t>
            </w:r>
            <w:r>
              <w:rPr>
                <w:rFonts w:ascii="Arial" w:hAnsi="Arial" w:eastAsia="Arial" w:cs="Arial"/>
                <w:i w:val="false"/>
                <w:b w:val="false"/>
                <w:u w:val="none"/>
                <w:strike w:val="false"/>
                <w:vertAlign w:val="superscript"/>
                <w:sz w:val="22"/>
                <w:szCs w:val="22"/>
                <w:color w:val="000000"/>
              </w:rPr>
              <w:t xml:space="preserve">1</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Stage prior to recurrence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(6.9%)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 (50%)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Cause of Recurrence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Treatment completed but not within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 (40%)</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Treatment incomplete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 (60%)</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Restricted to the 72 patients with recurrent MBC; prior stage and cause of recurrence are undefined for de novo disease. Reasons are not mutually exclusive. Codes 3 and 4 appear in the data but are not defined in the questionnaire and are reported together as uncoded. 20 patients classified as de novo MBC also carried a cause of recurrence; those entries are excluded here and listed in the cleaning log.</w:t>
      </w:r>
    </w:p>
    <w:p>
      <w:pPr>
        <w:pStyle w:val=""/>
      </w:pPr>
      <w:r>
        <w:t xml:space="preserve"/>
      </w:r>
    </w:p>
    <w:p>
      <w:pPr>
        <w:pStyle w:val="Titre1"/>
      </w:pPr>
      <w:r>
        <w:t xml:space="preserve">Table 3. Association with current vital status</w:t>
      </w:r>
    </w:p>
    <w:tbl xmlns:a="http://schemas.openxmlformats.org/drawingml/2006/main" xmlns:pic="http://schemas.openxmlformats.org/drawingml/2006/picture">
      <w:tblPr>
        <w:tblLayout w:type="fixed"/>
        <w:jc w:val="center"/>
        <w:tblLook w:firstRow="1" w:lastRow="0" w:firstColumn="0" w:lastColumn="0" w:noHBand="0" w:noVBand="1"/>
      </w:tblPr>
      <w:tblGrid>
        <w:gridCol w:w="3186"/>
        <w:gridCol w:w="1303"/>
        <w:gridCol w:w="1303"/>
        <w:gridCol w:w="1242"/>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Current vital status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r>
      <w:tr>
        <w:trPr>
          <w:trHeight w:val="77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Alive</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96</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Death</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39</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r>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Tumor grade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Molecular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Chemotherapy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Hormone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Targeted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Delayed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Follow-up attendance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Irregular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(32%)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(77%)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2</w:t>
            </w:r>
            <w:r>
              <w:rPr>
                <w:rFonts w:ascii="Arial" w:hAnsi="Arial" w:eastAsia="Arial" w:cs="Arial"/>
                <w:i w:val="false"/>
                <w:b w:val="false"/>
                <w:u w:val="none"/>
                <w:strike w:val="false"/>
                <w:sz w:val="22"/>
                <w:szCs w:val="22"/>
                <w:color w:val="000000"/>
              </w:rPr>
              <w:t xml:space="preserve">Fisher's exact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Fisher exact test throughout. Deaths (n = 39) are taken from the recorded current status.</w:t>
      </w:r>
    </w:p>
    <w:p>
      <w:pPr>
        <w:pStyle w:val=""/>
      </w:pPr>
      <w:r>
        <w:t xml:space="preserve"/>
      </w:r>
    </w:p>
    <w:p>
      <w:pPr>
        <w:pStyle w:val="Titre1"/>
      </w:pPr>
      <w:r>
        <w:t xml:space="preserve">Table 4. Univariate and multivariate Cox regression (overall survival)</w:t>
      </w:r>
    </w:p>
    <w:tbl xmlns:a="http://schemas.openxmlformats.org/drawingml/2006/main" xmlns:pic="http://schemas.openxmlformats.org/drawingml/2006/picture">
      <w:tblPr>
        <w:tblLayout w:type="fixed"/>
        <w:jc w:val="center"/>
        <w:tblLook w:firstRow="1" w:lastRow="0" w:firstColumn="0" w:lastColumn="0" w:noHBand="0" w:noVBand="1"/>
      </w:tblPr>
      <w:tblGrid>
        <w:gridCol w:w="3186"/>
        <w:gridCol w:w="839"/>
        <w:gridCol w:w="1389"/>
        <w:gridCol w:w="1181"/>
        <w:gridCol w:w="839"/>
        <w:gridCol w:w="1389"/>
        <w:gridCol w:w="1181"/>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Univariate analysis</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Multivariate analysis</w:t>
            </w:r>
          </w:p>
        </w:tc>
      </w:tr>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HR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HR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Age Group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0.33, 2.41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0.07, 4.01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&gt;10-12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&gt;5-10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0.26, 3.18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Graduate and above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0.08, 7.25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0.04, 41.3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Illiterate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Tumor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0.21, 6.37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0.38, 6.88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0.30, 9.15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Molecular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0.46, 2.15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0.40, 2.92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0.42, 2.63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0.32, 2.63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Menopause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0.71, 8.14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Chemotherapy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0.54, 9.34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1.28, 103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0.029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Hormone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0.24, 2.09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Targeted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0.42, 4.43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1.15, 43.8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0.035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1.57, 5.83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1.82, 20.5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0.77, 6.36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1.38, 6.15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3.07, 41.7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0.29, 1.10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0.19, 1.71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Delayed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1.72, 6.52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0.53, 9.40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0.13, 0.54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0.05, 0.93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0.040</w:t>
            </w:r>
          </w:p>
        </w:tc>
      </w:tr>
      <w:tr>
        <w:trPr>
          <w:trHeight w:val="360" w:hRule="auto"/>
        </w:trPr>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Abbreviations: CI = Confidence Interval, HR = Hazard Ratio</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CAUTION: for the 96 patients who had not died, the survival time used here is the interval from first symptom to metastasis, not time under observation after metastasis. This is inherited from the existing dataset and needs a last-contact date to correct. Hazard ratios should not be published until it is fixed.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2026-09-30T11:00:14Z</dcterms:modified>
  <cp:category/>
</cp:coreProperties>
</file>