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Chapter 4  Results</w:t>
      </w:r>
    </w:p>
    <w:p>
      <w:pPr>
        <w:pStyle w:val="Titre2"/>
      </w:pPr>
      <w:r>
        <w:t xml:space="preserve">Table 1  Distribution of the study sample by administrative division and place of residence</w:t>
      </w:r>
    </w:p>
    <w:tbl xmlns:a="http://schemas.openxmlformats.org/drawingml/2006/main" xmlns:pic="http://schemas.openxmlformats.org/drawingml/2006/picture">
      <w:tblPr>
        <w:tblLayout w:type="fixed"/>
        <w:jc w:val="center"/>
        <w:tblLook w:firstRow="1" w:lastRow="0" w:firstColumn="0" w:lastColumn="0" w:noHBand="0" w:noVBand="1"/>
      </w:tblPr>
      <w:tblGrid>
        <w:gridCol w:w="1360"/>
        <w:gridCol w:w="1153"/>
        <w:gridCol w:w="1153"/>
        <w:gridCol w:w="1245"/>
      </w:tblGrid>
      <w:tr>
        <w:trPr>
          <w:trHeight w:val="43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Division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Urban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Rural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Total</w:t>
            </w:r>
          </w:p>
        </w:tc>
      </w:tr>
      <w:tr>
        <w:trPr>
          <w:trHeight w:val="4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Barisal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 (39.6)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29 (60.4)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Chittagong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 (27.1)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35 (72.9)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Dhaka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 (85.7)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70 (17.2)</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Khulna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 (22.9)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37 (77.1)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Mymensingh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 (30.6)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 (69.4)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49 (12.0)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Rajshahi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 (83.3)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Rangpur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 (25.0)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36 (75.0)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Sylhet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 (25.0)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36 (75.0)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150 (36.9)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257 (63.1)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407 (100.0)</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Distribution of the 407 study children across administrative divisions and place of residence. Percentages in the Urban and Rural columns are of the division row total; the Total column is the percentage of the whole sample. Recruitment took place at 25 upazila health congregation sites, so this is not a population-representative geographic distribution and no analysis in this document is weighted or adjusted for that clustering.</w:t>
      </w:r>
    </w:p>
    <w:p>
      <w:pPr>
        <w:pStyle w:val="Normal"/>
      </w:pPr>
      <w:r>
        <w:t xml:space="preserve"/>
      </w:r>
    </w:p>
    <w:p>
      <w:pPr>
        <w:pStyle w:val="Titre2"/>
      </w:pPr>
      <w:r>
        <w:t xml:space="preserve">Table 2  Household and socioeconomic characteristics of the study participants</w:t>
      </w:r>
    </w:p>
    <w:tbl xmlns:a="http://schemas.openxmlformats.org/drawingml/2006/main" xmlns:pic="http://schemas.openxmlformats.org/drawingml/2006/picture">
      <w:tblPr>
        <w:tblLayout w:type="fixed"/>
        <w:jc w:val="center"/>
        <w:tblLook w:firstRow="1" w:lastRow="0" w:firstColumn="0" w:lastColumn="0" w:noHBand="0" w:noVBand="1"/>
      </w:tblPr>
      <w:tblGrid>
        <w:gridCol w:w="2508"/>
        <w:gridCol w:w="1199"/>
        <w:gridCol w:w="1123"/>
        <w:gridCol w:w="982"/>
      </w:tblGrid>
      <w:tr>
        <w:trPr>
          <w:trHeight w:val="43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Summary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Missing</w:t>
            </w:r>
          </w:p>
        </w:tc>
      </w:tr>
      <w:tr>
        <w:trPr>
          <w:trHeight w:val="4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Division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Barisal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Chittagong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Dhaka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70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Khulna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Mymensingh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49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Rajshahi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Rangpur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Sylhet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Residence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150 (36.9)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257 (63.1)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Wealth quintile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Poorest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81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Poorer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82 (20.1)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Middle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81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Richer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82 (20.1)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Richest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81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Religion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Muslim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388 (95.3)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Hindu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Family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Nuclear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173 (42.5)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Joint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234 (57.5)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Household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4 or fewer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135 (33.2)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172 (42.3)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7 or 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Any media access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307 (75.4)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Improved sanitation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Unimproved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 (5.2)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Improved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382 (94.8)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Clean cooking fuel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Solid / polluting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236 (58.0)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Clean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171 (42.0)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Shared toilet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78 (19.2)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329 (80.8)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Separate kitchen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88 (21.6)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319 (78.4)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Household bank account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223 (54.8)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184 (45.2)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Household food groups (0-5)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3.21 (1.09)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 (3-4)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n = 407 mother-child pairs, children aged 6-23 months. Categorical variables are n (%) of non-missing responses, with the percentage repeated in the third column; continuous variables are mean (SD) in the second column and median (IQR) in the third. The Missing column counts children with no valid response, and percentages are of the non-missing denominator. Household food groups is the 0-5 count from the Module E household recall. Wealth quintile was constructed by principal components analysis on the household asset list. Clean cooking fuel groups electricity, LPG, natural gas and biogas against solid and polluting fuels. Drinking water source and ethnicity are not shown: 405 of 407 households use an improved source and 405 of 407 respondents are Bengali, so neither varies enough to analyse.</w:t>
      </w:r>
    </w:p>
    <w:p>
      <w:pPr>
        <w:pStyle w:val="Normal"/>
      </w:pPr>
      <w:r>
        <w:t xml:space="preserve"/>
      </w:r>
    </w:p>
    <w:p>
      <w:pPr>
        <w:pStyle w:val="Titre2"/>
      </w:pPr>
      <w:r>
        <w:t xml:space="preserve">Table 3  Characteristics of the children</w:t>
      </w:r>
    </w:p>
    <w:tbl xmlns:a="http://schemas.openxmlformats.org/drawingml/2006/main" xmlns:pic="http://schemas.openxmlformats.org/drawingml/2006/picture">
      <w:tblPr>
        <w:tblLayout w:type="fixed"/>
        <w:jc w:val="center"/>
        <w:tblLook w:firstRow="1" w:lastRow="0" w:firstColumn="0" w:lastColumn="0" w:noHBand="0" w:noVBand="1"/>
      </w:tblPr>
      <w:tblGrid>
        <w:gridCol w:w="2006"/>
        <w:gridCol w:w="1153"/>
        <w:gridCol w:w="1123"/>
        <w:gridCol w:w="982"/>
      </w:tblGrid>
      <w:tr>
        <w:trPr>
          <w:trHeight w:val="43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Summary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Missing</w:t>
            </w:r>
          </w:p>
        </w:tc>
      </w:tr>
      <w:tr>
        <w:trPr>
          <w:trHeight w:val="4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Child age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6-8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83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9-11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96 (23.6)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12-17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141 (34.6)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18-23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87 (21.4)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Child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226 (55.5)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181 (44.5)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Birth 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168 (41.3)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Second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145 (35.6)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Third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73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Fourth or higher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 (5.2)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Birth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&lt;2.5 kg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2.5 kg or 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271 (66.6)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Don't know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88 (21.6)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Currently breastfed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27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380 (93.4)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Child sick at interview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164 (40.8)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238 (59.2)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n = 407 mother-child pairs, children aged 6-23 months. Categorical variables are n (%) of non-missing responses, with the percentage repeated in the third column; continuous variables are mean (SD) in the second column and median (IQR) in the third. The Missing column counts children with no valid response, and percentages are of the non-missing denominator. Birth weight was recorded in mixed units and is repaired here, with 7 forms entered in kilograms multiplied by 1000; the 88 'don't know' responses are kept as their own level rather than dropped, because dropping them would remove a fifth of the sample. Child sick at interview is the mother's report on the day of interview. Recruitment happened at health congregation sites, so sick children are OVER-SAMPLED BY DESIGN and this row describes the sampling frame; it is not evidence that illness is unusually common in this population.</w:t>
      </w:r>
    </w:p>
    <w:p>
      <w:pPr>
        <w:pStyle w:val="Normal"/>
      </w:pPr>
      <w:r>
        <w:t xml:space="preserve"/>
      </w:r>
    </w:p>
    <w:p>
      <w:pPr>
        <w:pStyle w:val="Titre2"/>
      </w:pPr>
      <w:r>
        <w:t xml:space="preserve">Table 4  Maternal characteristics of the study participants</w:t>
      </w:r>
    </w:p>
    <w:tbl xmlns:a="http://schemas.openxmlformats.org/drawingml/2006/main" xmlns:pic="http://schemas.openxmlformats.org/drawingml/2006/picture">
      <w:tblPr>
        <w:tblLayout w:type="fixed"/>
        <w:jc w:val="center"/>
        <w:tblLook w:firstRow="1" w:lastRow="0" w:firstColumn="0" w:lastColumn="0" w:noHBand="0" w:noVBand="1"/>
      </w:tblPr>
      <w:tblGrid>
        <w:gridCol w:w="2082"/>
        <w:gridCol w:w="1290"/>
        <w:gridCol w:w="1163"/>
        <w:gridCol w:w="982"/>
      </w:tblGrid>
      <w:tr>
        <w:trPr>
          <w:trHeight w:val="43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Summary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Missing</w:t>
            </w:r>
          </w:p>
        </w:tc>
      </w:tr>
      <w:tr>
        <w:trPr>
          <w:trHeight w:val="4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Mother's age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24.85 (4.95)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 (21-28)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Mother's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 formal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 (4.9)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111 (27.3)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177 (43.5)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Higher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67 (16.5)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Higher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Mother's occupation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Housewife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385 (94.6)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Employed /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Age at marriage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&lt;18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219 (53.8)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18 years or 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188 (46.2)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Number of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166 (40.8)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138 (33.9)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3 or more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103 (25.3)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n = 407 mother-child pairs, children aged 6-23 months. Categorical variables are n (%) of non-missing responses, with the percentage repeated in the third column; continuous variables are mean (SD) in the second column and median (IQR) in the third. The Missing column counts children with no valid response, and percentages are of the non-missing denominator. Age at marriage is the mother's age at first marriage in completed years. Number of children is total living children, not only those in the eligible age band.</w:t>
      </w:r>
    </w:p>
    <w:p>
      <w:pPr>
        <w:pStyle w:val="Normal"/>
      </w:pPr>
      <w:r>
        <w:t xml:space="preserve"/>
      </w:r>
    </w:p>
    <w:p>
      <w:pPr>
        <w:pStyle w:val="Titre2"/>
      </w:pPr>
      <w:r>
        <w:t xml:space="preserve">Table 5  Paternal characteristics of the study participants</w:t>
      </w:r>
    </w:p>
    <w:tbl xmlns:a="http://schemas.openxmlformats.org/drawingml/2006/main" xmlns:pic="http://schemas.openxmlformats.org/drawingml/2006/picture">
      <w:tblPr>
        <w:tblLayout w:type="fixed"/>
        <w:jc w:val="center"/>
        <w:tblLook w:firstRow="1" w:lastRow="0" w:firstColumn="0" w:lastColumn="0" w:noHBand="0" w:noVBand="1"/>
      </w:tblPr>
      <w:tblGrid>
        <w:gridCol w:w="2417"/>
        <w:gridCol w:w="1290"/>
        <w:gridCol w:w="1163"/>
        <w:gridCol w:w="982"/>
      </w:tblGrid>
      <w:tr>
        <w:trPr>
          <w:trHeight w:val="43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Summary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Missing</w:t>
            </w:r>
          </w:p>
        </w:tc>
      </w:tr>
      <w:tr>
        <w:trPr>
          <w:trHeight w:val="4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Father's age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31.85 (7.33)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 (26-35)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Father's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 formal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63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120 (29.5)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122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Higher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 (15.2)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Higher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Father's occupation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Agriculture / day labour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139 (34.2)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Business / service /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224 (55.0)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Remittance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Not working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 (3.2)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n = 407 mother-child pairs, children aged 6-23 months. Categorical variables are n (%) of non-missing responses, with the percentage repeated in the third column; continuous variables are mean (SD) in the second column and median (IQR) in the third. The Missing column counts children with no valid response, and percentages are of the non-missing denominator. Father's occupation collapses seven recorded categories into four; the group counted as 'business / service / other' is mostly salaried employees rather than traders.</w:t>
      </w:r>
    </w:p>
    <w:p>
      <w:pPr>
        <w:pStyle w:val="Normal"/>
      </w:pPr>
      <w:r>
        <w:t xml:space="preserve"/>
      </w:r>
    </w:p>
    <w:p>
      <w:pPr>
        <w:pStyle w:val="Titre2"/>
      </w:pPr>
      <w:r>
        <w:t xml:space="preserve">Table 6  Maternal and child health service use</w:t>
      </w:r>
    </w:p>
    <w:tbl xmlns:a="http://schemas.openxmlformats.org/drawingml/2006/main" xmlns:pic="http://schemas.openxmlformats.org/drawingml/2006/picture">
      <w:tblPr>
        <w:tblLayout w:type="fixed"/>
        <w:jc w:val="center"/>
        <w:tblLook w:firstRow="1" w:lastRow="0" w:firstColumn="0" w:lastColumn="0" w:noHBand="0" w:noVBand="1"/>
      </w:tblPr>
      <w:tblGrid>
        <w:gridCol w:w="3442"/>
        <w:gridCol w:w="1153"/>
        <w:gridCol w:w="1123"/>
        <w:gridCol w:w="982"/>
      </w:tblGrid>
      <w:tr>
        <w:trPr>
          <w:trHeight w:val="43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Summary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Missing</w:t>
            </w:r>
          </w:p>
        </w:tc>
      </w:tr>
      <w:tr>
        <w:trPr>
          <w:trHeight w:val="4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ANC visits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152 (37.4)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4 or 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222 (54.7)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Place of delivery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79 (19.4)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Government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152 (37.3)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Private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174 (42.8)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Mode of delivery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174 (42.8)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Cesarean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233 (57.2)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Birth attendant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Health professional / trained attendant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259 (63.6)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Midwife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75 (18.4)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73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Postnatal care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223 (54.8)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184 (45.2)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Nutrition counselling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319 (78.4)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88 (21.6)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Child health decisions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Mother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92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Mother and husband jointly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260 (63.9)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Husband or other relative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 (13.5)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n = 407 mother-child pairs, children aged 6-23 months. Categorical variables are n (%) of non-missing responses, with the percentage repeated in the third column; continuous variables are mean (SD) in the second column and median (IQR) in the third. The Missing column counts children with no valid response, and percentages are of the non-missing denominator. Antenatal care visits exclude one 'don't know' response. Place of delivery, mode of delivery and birth attendant refer to the index child. Child health decisions collapses six recorded response categories into three. Nutrition counselling is any counselling reported during pregnancy or after delivery.</w:t>
      </w:r>
    </w:p>
    <w:p>
      <w:pPr>
        <w:pStyle w:val="Normal"/>
      </w:pPr>
      <w:r>
        <w:t xml:space="preserve"/>
      </w:r>
    </w:p>
    <w:p>
      <w:pPr>
        <w:pStyle w:val="Titre2"/>
      </w:pPr>
      <w:r>
        <w:t xml:space="preserve">Table 7  Univariate distribution of all candidate independent variables</w:t>
      </w:r>
    </w:p>
    <w:tbl xmlns:a="http://schemas.openxmlformats.org/drawingml/2006/main" xmlns:pic="http://schemas.openxmlformats.org/drawingml/2006/picture">
      <w:tblPr>
        <w:tblLayout w:type="fixed"/>
        <w:jc w:val="center"/>
        <w:tblLook w:firstRow="1" w:lastRow="0" w:firstColumn="0" w:lastColumn="0" w:noHBand="0" w:noVBand="1"/>
      </w:tblPr>
      <w:tblGrid>
        <w:gridCol w:w="4418"/>
        <w:gridCol w:w="1290"/>
        <w:gridCol w:w="1163"/>
        <w:gridCol w:w="982"/>
      </w:tblGrid>
      <w:tr>
        <w:trPr>
          <w:trHeight w:val="43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Summary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Missing</w:t>
            </w:r>
          </w:p>
        </w:tc>
      </w:tr>
      <w:tr>
        <w:trPr>
          <w:trHeight w:val="400" w:hRule="auto"/>
        </w:trPr>
        <w:tc>
          <w:tcPr>
            <w:tcBorders>
              <w:bottom w:val="none" w:sz="0" w:space="0" w:color="000000"/>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HOUSEHOLD AND SOCIOECONOMIC CHARACTERISTICS</w:t>
            </w:r>
          </w:p>
        </w:tc>
        <w:tc>
          <w:tcPr>
            <w:tcBorders>
              <w:bottom w:val="none" w:sz="0" w:space="0" w:color="000000"/>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Division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Barisal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Chittagong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Dhaka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70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Khulna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Mymensingh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49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Rajshahi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Rangpur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Sylhet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Residence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150 (36.9)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257 (63.1)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Wealth quintile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Poorest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81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Poorer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82 (20.1)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Middle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81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Richer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82 (20.1)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Richest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81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Religion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Muslim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388 (95.3)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Hindu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Family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Nuclear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173 (42.5)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Joint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234 (57.5)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Household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4 or fewer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135 (33.2)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172 (42.3)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7 or 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Any media access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307 (75.4)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Improved sanitation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Unimproved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 (5.2)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Improved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382 (94.8)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Clean cooking fuel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Solid / polluting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236 (58.0)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Clean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171 (42.0)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Shared toilet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78 (19.2)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329 (80.8)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Separate kitchen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88 (21.6)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319 (78.4)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Household bank account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223 (54.8)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184 (45.2)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Household food groups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3.21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CHARACTERISTICS OF THE CHILDREN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Child 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6-8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83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9-11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96 (23.6)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12-17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141 (34.6)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18-23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87 (21.4)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Child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226 (55.5)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181 (44.5)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Birth 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168 (41.3)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Second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145 (35.6)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Third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73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Fourth or higher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 (5.2)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Birth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&lt;2.5 kg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2.5 kg or 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271 (66.6)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Don't know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88 (21.6)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Currently breastfed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27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380 (93.4)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Child sick at interview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164 (40.8)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238 (59.2)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MATERNAL CHARACTERISTICS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Mother's age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24.85 (4.95)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 (21-28)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Mother's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 formal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 (4.9)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111 (27.3)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177 (43.5)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Higher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67 (16.5)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Higher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Mother's occupation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Housewife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385 (94.6)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Employed /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Age at marriage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&lt;18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219 (53.8)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18 years or 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188 (46.2)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Number of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166 (40.8)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138 (33.9)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3 or 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103 (25.3)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PATERNAL CHARACTERISTICS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Father's age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31.85 (7.33)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 (26-35)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Father's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 formal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63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120 (29.5)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122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Higher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 (15.2)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Higher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Father's occupation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Agriculture / day labour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139 (34.2)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Business / service /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224 (55.0)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Remittance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Not working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MATERNAL AND CHILD HEALTH SERVICE USE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ANC visits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152 (37.4)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4 or 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222 (54.7)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Place of delivery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79 (19.4)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Government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152 (37.3)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Private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174 (42.8)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Mode of delivery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174 (42.8)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Cesarean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233 (57.2)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Birth attendant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Health professional / trained attendant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259 (63.6)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Midwife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75 (18.4)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73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Postnatal care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223 (54.8)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184 (45.2)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Nutrition counselling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319 (78.4)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88 (21.6)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Child health decisions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Mother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92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Mother and husband jointly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260 (63.9)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Husband or other relative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 (13.5)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n = 407 mother-child pairs, children aged 6-23 months. Categorical variables are n (%) of non-missing responses, with the percentage repeated in the third column; continuous variables are mean (SD) in the second column and median (IQR) in the third. The Missing column counts children with no valid response, and percentages are of the non-missing denominator. This is the complete set of 34 candidate independent variables carried into the bivariate screen in Table 13, gathered into one table so the modelling variable list can be checked at a glance. It repeats the content of Tables 2 to 6 in consolidated form. Denominators vary where a variable has missing responses, and the Missing column gives the count.</w:t>
      </w:r>
    </w:p>
    <w:p>
      <w:pPr>
        <w:pStyle w:val="Normal"/>
      </w:pPr>
      <w:r>
        <w:t xml:space="preserve"/>
      </w:r>
    </w:p>
    <w:p>
      <w:pPr>
        <w:pStyle w:val="Titre2"/>
      </w:pPr>
      <w:r>
        <w:t xml:space="preserve">Table 8  Prevalence of the WHO/UNICEF infant and young child feeding indicators</w:t>
      </w:r>
    </w:p>
    <w:tbl xmlns:a="http://schemas.openxmlformats.org/drawingml/2006/main" xmlns:pic="http://schemas.openxmlformats.org/drawingml/2006/picture">
      <w:tblPr>
        <w:tblLayout w:type="fixed"/>
        <w:jc w:val="center"/>
        <w:tblLook w:firstRow="1" w:lastRow="0" w:firstColumn="0" w:lastColumn="0" w:noHBand="0" w:noVBand="1"/>
      </w:tblPr>
      <w:tblGrid>
        <w:gridCol w:w="4592"/>
        <w:gridCol w:w="1109"/>
        <w:gridCol w:w="730"/>
        <w:gridCol w:w="1185"/>
      </w:tblGrid>
      <w:tr>
        <w:trPr>
          <w:trHeight w:val="43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n /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95% CI</w:t>
            </w:r>
          </w:p>
        </w:tc>
      </w:tr>
      <w:tr>
        <w:trPr>
          <w:trHeight w:val="4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Minimum dietary diversity (MDD)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155 / 407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33.5 - 42.9</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Minimum meal frequency (MMF)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261 / 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59.4 - 68.6</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Minimum acceptable diet (MAD)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118 / 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24.8 - 33.6</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Egg and/or flesh food consumption (EFF)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266 / 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60.6 - 69.8</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Sweet beverage consumption (SwB)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71 / 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14.1 - 21.4</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Unhealthy food consumption (UFC)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185 / 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40.7 - 50.3</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Zero vegetable or fruit consumption (ZVF)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170 / 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37.1 - 46.6</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Continued breastfeeding at 12-23 months (CBF)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206 /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85.8 - 93.5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Introduction of solid foods at 6-8 months (ISSSF)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76 /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84.9 - 96.6</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Minimum milk feeding frequency, non-breastfed (MMFF)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 /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40.7 - 75.5</w:t>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Breastfed yesterday (context)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380 / 407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90.5 - 95.4</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Indicators follow WHO &amp; UNICEF (2021), Indicators for assessing infant and young child feeding practices, Part 2 section C. Each percentage is of the denominator that indicator defines, shown in the n / N column: continued breastfeeding applies only at 12-23 months, introduction of solid foods only at 6-8 months, and minimum milk feeding frequency only to non-breastfed children. Confidence intervals are Wilson score intervals without continuity correction and are NOT adjusted for clustering within the 25 upazila recruitment sites, so they are narrower than a design-adjusted interval would be. Seven of WHO's 17 indicators cannot be computed from these data: ever breastfed, early initiation of breastfeeding and exclusive breastfeeding for the first two days need birth-recall questions that were not asked; exclusive and mixed milk feeding have a 0-5 month denominator and this sample is 6-23 months; bottle feeding was not asked; and the infant feeding area graphs require both. Note that sweet beverage, unhealthy food and zero vegetable or fruit consumption are indicators where a HIGHER percentage is worse.</w:t>
      </w:r>
    </w:p>
    <w:p>
      <w:pPr>
        <w:pStyle w:val="Normal"/>
      </w:pPr>
      <w:r>
        <w:t xml:space="preserve"/>
      </w:r>
    </w:p>
    <w:p>
      <w:pPr>
        <w:pStyle w:val="Titre2"/>
      </w:pPr>
      <w:r>
        <w:t xml:space="preserve">Table 9  Construction of the IYCF practice score: components, grading and internal consistency</w:t>
      </w:r>
    </w:p>
    <w:tbl xmlns:a="http://schemas.openxmlformats.org/drawingml/2006/main" xmlns:pic="http://schemas.openxmlformats.org/drawingml/2006/picture">
      <w:tblPr>
        <w:tblLayout w:type="fixed"/>
        <w:jc w:val="center"/>
        <w:tblLook w:firstRow="1" w:lastRow="0" w:firstColumn="0" w:lastColumn="0" w:noHBand="0" w:noVBand="1"/>
      </w:tblPr>
      <w:tblGrid>
        <w:gridCol w:w="1995"/>
        <w:gridCol w:w="873"/>
        <w:gridCol w:w="1153"/>
        <w:gridCol w:w="1153"/>
        <w:gridCol w:w="1153"/>
        <w:gridCol w:w="997"/>
        <w:gridCol w:w="1199"/>
        <w:gridCol w:w="1273"/>
      </w:tblGrid>
      <w:tr>
        <w:trPr>
          <w:trHeight w:val="43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Component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Range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Grade 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Grade 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Grade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Grade 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Mean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Item-total r</w:t>
            </w:r>
          </w:p>
        </w:tc>
      </w:tr>
      <w:tr>
        <w:trPr>
          <w:trHeight w:val="4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Dietary diversity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78 (19.2)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174 (42.8)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128 (31.4)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27 (6.6)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1.26 (0.84)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+0.788</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Meal frequency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146 (35.9)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142 (34.9)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119 (29.2)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0.93 (0.81)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+0.298</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Animal-source foods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99 (24.3)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134 (32.9)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174 (42.8)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1.18 (0.80)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+0.586</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Fruit and vegetables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170 (41.8)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160 (39.3)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77 (18.9)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0.77 (0.75)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+0.564</w:t>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IYCF PRACTICE SCORE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4.14 (2.42)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alpha 0.752</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The four components of the IYCF practice score, n = 407 for every row. Cells are n (%) of children at each grade; a dash marks a grade the component does not have. Grades are assigned as follows. Dietary diversity: 0-2 food groups / 3-4 / 5-6 / 7-8 of the eight WHO groups. Meal frequency: below the child's own WHO minimum / exactly at it / above it, where that minimum is two solid feeds for a breastfed child aged 6-8 months, three for a breastfed child aged 9-23 months, and four feeds including milk with at least one solid feed for a non-breastfed child. Animal-source foods: none / 1 / 2 or more of the nine animal-source rows. Fruit and vegetables: none, which is exactly ZVF / 1 / 2 or more of the five rows. Components are graded on their underlying scales rather than on the WHO yes/no cut-offs, because a third of the sample sits exactly on the meal-frequency cut-off and dichotomising there discards most of the variance; each WHO indicator remains recoverable from its component. 'Item-total r' is the corrected item-total correlation, between the component and the sum of the other three. Cronbach's alpha is 0.752. Adding breastfeeding as a fifth component LOWERS alpha to 0.682, because its item-total correlation is negative and stays negative within every age group, so it is excluded; the consequence is that this is a complementary feeding adequacy score rather than a complete IYCF score, and it should be named that way in the text. The structure follows the Infant and Child Feeding Index (Ruel &amp; Menon 2002; Arimond &amp; Ruel 2004) applied to the WHO &amp; UNICEF (2021) definitions.</w:t>
      </w:r>
    </w:p>
    <w:p>
      <w:pPr>
        <w:pStyle w:val="Normal"/>
      </w:pPr>
      <w:r>
        <w:t xml:space="preserve"/>
      </w:r>
    </w:p>
    <w:p>
      <w:pPr>
        <w:pStyle w:val="Titre2"/>
      </w:pPr>
      <w:r>
        <w:t xml:space="preserve">Table 10  Candidate index constructions compared, including the published method</w:t>
      </w:r>
    </w:p>
    <w:tbl xmlns:a="http://schemas.openxmlformats.org/drawingml/2006/main" xmlns:pic="http://schemas.openxmlformats.org/drawingml/2006/picture">
      <w:tblPr>
        <w:tblLayout w:type="fixed"/>
        <w:jc w:val="center"/>
        <w:tblLook w:firstRow="1" w:lastRow="0" w:firstColumn="0" w:lastColumn="0" w:noHBand="0" w:noVBand="1"/>
      </w:tblPr>
      <w:tblGrid>
        <w:gridCol w:w="5643"/>
        <w:gridCol w:w="1095"/>
        <w:gridCol w:w="959"/>
        <w:gridCol w:w="1576"/>
        <w:gridCol w:w="1871"/>
      </w:tblGrid>
      <w:tr>
        <w:trPr>
          <w:trHeight w:val="43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Construction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Items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Scale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Cronbach alpha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Negative item-total</w:t>
            </w:r>
          </w:p>
        </w:tc>
      </w:tr>
      <w:tr>
        <w:trPr>
          <w:trHeight w:val="4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Four graded components (USED)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4 graded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0.752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 of 4</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Five graded components, breastfeeding added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 graded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 of 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Seven graded components, sweet drinks and junk food added, reversed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 graded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 of 7</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Sheikh et al. (2026), one point per correct practice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 binary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 of 7 core</w:t>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Sheikh et al., with minimum acceptable diet removed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 binary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 of 6 core</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Every candidate construction of the outcome, computed on the same 407 children and the same indicator definitions, so the alphas are directly comparable. The first row is the score used throughout this document. Rows two and three show why components were left out: breastfeeding and the two avoidance indicators each LOWER internal consistency when added, and each arrives with a negative corrected item-total correlation. For the avoidance indicators this is not a coding error and reversing them is what produces it - in these data a child given sweet drinks and biscuits is typically a child being given more of everything, so those items measure discretionary food exposure rather than feeding adequacy. Rows four and five are the method of Sheikh et al. (2026, Journal of Nutritional Science 15: e50), the supervisor's own paper: one point per correct practice across the WHO indicators, scored over the indicators applicable to each child and expressed as a percentage. Its alpha falls from 0.569 to 0.372 when minimum acceptable diet is removed, because minimum acceptable diet is by definition minimum dietary diversity AND minimum meal frequency AND a milk-feed condition, all separately present in the same list, so it counts one behaviour twice. That published index and this one rank children similarly, at Spearman 0.848, so the choice between them changes the measurement properties more than it changes the ranking.</w:t>
      </w:r>
    </w:p>
    <w:p>
      <w:pPr>
        <w:pStyle w:val="Normal"/>
      </w:pPr>
      <w:r>
        <w:t xml:space="preserve"/>
      </w:r>
    </w:p>
    <w:p>
      <w:pPr>
        <w:pStyle w:val="Titre2"/>
      </w:pPr>
      <w:r>
        <w:t xml:space="preserve">Table 11  Distribution of the IYCF practice score and its four severity categories</w:t>
      </w:r>
    </w:p>
    <w:tbl xmlns:a="http://schemas.openxmlformats.org/drawingml/2006/main" xmlns:pic="http://schemas.openxmlformats.org/drawingml/2006/picture">
      <w:tblPr>
        <w:tblLayout w:type="fixed"/>
        <w:jc w:val="center"/>
        <w:tblLook w:firstRow="1" w:lastRow="0" w:firstColumn="0" w:lastColumn="0" w:noHBand="0" w:noVBand="1"/>
      </w:tblPr>
      <w:tblGrid>
        <w:gridCol w:w="822"/>
        <w:gridCol w:w="1062"/>
        <w:gridCol w:w="1261"/>
        <w:gridCol w:w="2022"/>
      </w:tblGrid>
      <w:tr>
        <w:trPr>
          <w:trHeight w:val="43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Cumulative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Category</w:t>
            </w:r>
          </w:p>
        </w:tc>
      </w:tr>
      <w:tr>
        <w:trPr>
          <w:trHeight w:val="4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36 (8.8)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Severe inadequacy</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29 (7.1)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Severe inadequacy</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46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Severe inadequacy</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57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Moderate inadequacy</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56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Moderate inadequacy</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49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Mild inadequacy</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Mild inadequacy</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51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Adequate</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Adequate</w:t>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 (3.2)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Adequate</w:t>
            </w:r>
          </w:p>
        </w:tc>
      </w:tr>
    </w:tbl>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022"/>
        <w:gridCol w:w="822"/>
        <w:gridCol w:w="1153"/>
        <w:gridCol w:w="1283"/>
        <w:gridCol w:w="821"/>
        <w:gridCol w:w="808"/>
        <w:gridCol w:w="791"/>
        <w:gridCol w:w="730"/>
        <w:gridCol w:w="730"/>
      </w:tblGrid>
      <w:tr>
        <w:trPr>
          <w:trHeight w:val="43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Mean score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MDD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MMF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EFF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ZVF</w:t>
            </w:r>
          </w:p>
        </w:tc>
      </w:tr>
      <w:tr>
        <w:trPr>
          <w:trHeight w:val="4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Severe inadequacy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111 (27.3)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88.3</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Moderate inadequacy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113 (27.8)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51.3</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Mild inadequacy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103 (25.3)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13.6</w:t>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Adequate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80 (19.7)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0.0</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Distribution of the 0-9 IYCF practice score and of the four severity categories built from it, n = 407. Cut-points are fixed on the scoring logic rather than taken from the sample: the top band means the child meets or beats the WHO minimum on essentially every component, and the bottom band means failing most of them. They happen to fall on the sample quartiles of 2, 4 and 6, so the four groups come out near-equal in size, but they are NOT defined as quartiles, which matters because a quantile cut-point shifts with the sample and cannot be compared against another study. The second panel validates them against the WHO indicators, which is the check that would fail first if a component were scored backwards: minimum dietary diversity rises 0.0%, 2.7%, 69.9%, 100.0% across the four categories (Kruskal-Wallis p &lt;0.001), minimum acceptable diet rises 0.0%, 0.0%, 44.7%, 90.0% (p &lt;0.001), and zero vegetable or fruit consumption falls 88.3%, 51.3%, 13.6%, 0.0% (p &lt;0.001). No child in the bottom category reaches minimum dietary diversity and none reaches minimum acceptable diet, and every child in the top category reaches minimum dietary diversity.</w:t>
      </w:r>
    </w:p>
    <w:p>
      <w:pPr>
        <w:pStyle w:val="Normal"/>
      </w:pPr>
      <w:r>
        <w:t xml:space="preserve"/>
      </w:r>
    </w:p>
    <w:p>
      <w:pPr>
        <w:pStyle w:val="Titre2"/>
      </w:pPr>
      <w:r>
        <w:t xml:space="preserve">Table 12  Construction of the binary outcome</w:t>
      </w:r>
    </w:p>
    <w:tbl xmlns:a="http://schemas.openxmlformats.org/drawingml/2006/main" xmlns:pic="http://schemas.openxmlformats.org/drawingml/2006/picture">
      <w:tblPr>
        <w:tblLayout w:type="fixed"/>
        <w:jc w:val="center"/>
        <w:tblLook w:firstRow="1" w:lastRow="0" w:firstColumn="0" w:lastColumn="0" w:noHBand="0" w:noVBand="1"/>
      </w:tblPr>
      <w:tblGrid>
        <w:gridCol w:w="1169"/>
        <w:gridCol w:w="1529"/>
        <w:gridCol w:w="1742"/>
        <w:gridCol w:w="1866"/>
        <w:gridCol w:w="1305"/>
        <w:gridCol w:w="1364"/>
        <w:gridCol w:w="2491"/>
      </w:tblGrid>
      <w:tr>
        <w:trPr>
          <w:trHeight w:val="43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Cut-point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 of maximum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Appropriate 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Inappropriate 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Limiting cell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Supports ~df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Use</w:t>
            </w:r>
          </w:p>
        </w:tc>
      </w:tr>
      <w:tr>
        <w:trPr>
          <w:trHeight w:val="4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&gt;= 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29 (7.1)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378 (92.9)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&gt;=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80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327 (80.3)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USED - the top category</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&gt;=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134 (32.9)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273 (67.1)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&gt;= 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183 (45.0)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224 (55.0)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Best powered, no precedent</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Candidate dichotomisations of the 0-9 score, n = 407. The cut used throughout the rest of this document is a score of 7 or more, called 'appropriate complementary feeding practice'. It is chosen for three reasons: it is exactly the top category of the four-level variable, so the binary and the ordinal forms agree by construction; it is 78% of the attainable maximum, the closest this scale comes to the 80% threshold Sheikh et al. (2026) use, which keeps the thesis comparable to that paper; and it leaves 80 events, enough to support about 8 predictor degrees of freedom at the conventional ten events per variable. The 'limiting cell' is the smaller of the two outcome groups, which is what governs the degrees-of-freedom budget. A lower cut would be better powered but has no external precedent, so it belongs in a sensitivity analysis rather than as the reported prevalence. DICHOTOMISING COSTS INFORMATION: the four-level ordinal form in Table 11 uses all 407 children without splitting them into events and non-events, and should carry the main analysis wherever a reviewer will accept an ordinal model.</w:t>
      </w:r>
    </w:p>
    <w:p>
      <w:pPr>
        <w:pStyle w:val="Normal"/>
      </w:pPr>
      <w:r>
        <w:t xml:space="preserve"/>
      </w:r>
    </w:p>
    <w:p>
      <w:pPr>
        <w:pStyle w:val="Titre2"/>
      </w:pPr>
      <w:r>
        <w:t xml:space="preserve">Table 13  Bivariate association between appropriate complementary feeding practice and each independent variable</w:t>
      </w:r>
    </w:p>
    <w:tbl xmlns:a="http://schemas.openxmlformats.org/drawingml/2006/main" xmlns:pic="http://schemas.openxmlformats.org/drawingml/2006/picture">
      <w:tblPr>
        <w:tblLayout w:type="fixed"/>
        <w:jc w:val="center"/>
        <w:tblLook w:firstRow="1" w:lastRow="0" w:firstColumn="0" w:lastColumn="0" w:noHBand="0" w:noVBand="1"/>
      </w:tblPr>
      <w:tblGrid>
        <w:gridCol w:w="3442"/>
        <w:gridCol w:w="684"/>
        <w:gridCol w:w="1320"/>
        <w:gridCol w:w="1445"/>
        <w:gridCol w:w="1847"/>
        <w:gridCol w:w="911"/>
      </w:tblGrid>
      <w:tr>
        <w:trPr>
          <w:trHeight w:val="43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Appropriate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Inappropriate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Crude 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w:t>
            </w:r>
          </w:p>
        </w:tc>
      </w:tr>
      <w:tr>
        <w:trPr>
          <w:trHeight w:val="4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Child age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0.109</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6-8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70 (84.3)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9-11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80 (83.3)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1.08 (0.48-2.43)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12-17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26 (18.4)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115 (81.6)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1.22 (0.60-2.59)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18-23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 (28.7)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 (71.3)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2.17 (1.04-4.72)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Child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0.325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186 (82.3)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 (22.1)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141 (77.9)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1.32 (0.81-2.16)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Birth 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0.094</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36 (21.4)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132 (78.6)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Second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33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112 (77.2)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1.08 (0.63-1.85)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Third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66 (90.4)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0.39 (0.15-0.87)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Fourth or higher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 (19.0)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 (81.0)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0.86 (0.24-2.51)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Birth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0.133</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&lt;2.5 kg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43 (89.6)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2.5 kg or 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 (22.1)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211 (77.9)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2.45 (1.01-7.31)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Don't know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73 (83.0)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1.77 (0.63-5.74)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Currently breastfed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0.110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 (33.3)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 (66.7)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71 (18.7)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309 (81.3)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0.46 (0.20-1.11)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Child sick at interview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0.143</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26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138 (84.1)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 (22.3)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185 (77.7)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1.52 (0.91-2.58)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Mother's age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24.85 (4.87)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24.85 (4.98)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(0.95-1.05)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0.990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Mother's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0.163</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 formal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 (18.0)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91 (82.0)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1.98 (0.51-13.07)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 (17.5)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146 (82.5)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1.91 (0.51-12.41)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Higher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51 (76.1)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2.82 (0.71-18.97)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Higher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 (34.4)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 (65.6)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4.71 (1.08-33.14)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Mother's occupation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0.590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Housewife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77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308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Employed /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 (86.4)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0.63 (0.15-1.91)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Age at marriage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0.910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&lt;18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44 (20.1)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175 (79.9)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18 years or 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36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152 (80.9)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0.94 (0.57-1.54)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Number of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0.319</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35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131 (78.9)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 (21.7)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108 (78.3)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1.04 (0.60-1.80)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3 or 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88 (85.4)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0.64 (0.32-1.22)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Father's age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31.18 (6.75)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32.01 (7.47)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0.98 (0.95-1.02)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0.493</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Father's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&lt;0.001</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 formal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61 (96.8)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 (18.3)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98 (81.7)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6.85 (1.92-43.68)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26 (21.3)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96 (78.7)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8.26 (2.35-52.42)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Higher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23 (37.1)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39 (62.9)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17.99 (4.95-116.07)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Higher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 (17.5)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33 (82.5)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6.47 (1.47-45.12)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Father's occupation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0.509</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Agriculture / day labour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 (15.8)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117 (84.2)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Business / service /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49 (21.9)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175 (78.1)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1.49 (0.86-2.63)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Remittance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24 (77.4)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1.55 (0.56-3.91)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Not working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 (15.4)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 (84.6)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0.97 (0.14-3.93)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Family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0.257</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Nuclear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39 (22.5)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134 (77.5)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Joint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41 (17.5)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193 (82.5)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0.73 (0.45-1.19)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Household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0.030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4 or fewer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35 (25.9)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24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148 (86.0)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0.46 (0.26-0.82)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7 or 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 (21.0)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79 (79.0)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0.76 (0.41-1.40)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Religion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0.390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Muslim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78 (20.1)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310 (79.9)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Hindu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 (10.5)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 (89.5)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 (0.07-1.68)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Wealth quintile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&lt;0.001</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Poorest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 (6.2)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76 (93.8)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Poorer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69 (84.1)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2.86 (1.02-9.30)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Middle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 (25.9)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 (74.1)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5.32 (2.03-16.68)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Richer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 (18.3)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67 (81.7)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3.40 (1.24-10.92)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Richest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26 (32.1)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 (67.9)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7.19 (2.80-22.30)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Residence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0.997</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Urban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120 (80.0)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50 (19.5)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207 (80.5)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0.97 (0.59-1.61)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Division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0.067</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Barisal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 (20.8)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 (79.2)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Chittagong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43 (89.6)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0.44 (0.13-1.36)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Dhaka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 (27.1)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51 (72.9)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1.42 (0.60-3.49)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Khulna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 (18.8)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39 (81.2)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0.88 (0.32-2.41)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Mymensingh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 (18.4)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 (81.6)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0.85 (0.31-2.35)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Rajshahi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 (18.8)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39 (81.2)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0.88 (0.32-2.41)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Rangpur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 (31.2)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33 (68.8)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1.73 (0.69-4.47)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Sylhet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 (8.3)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44 (91.7)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 (0.09-1.12)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ANC visits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0.077</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29 (90.6)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 (16.4)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127 (83.6)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1.90 (0.61-8.37)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4 or 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52 (23.4)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170 (76.6)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2.96 (1.00-12.69)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Place of delivery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0.733</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 (21.5)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 (78.5)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Government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26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126 (82.9)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0.75 (0.38-1.51)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Private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37 (21.3)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137 (78.7)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0.98 (0.52-1.92)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not estimable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Mode of delivery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0.496</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 (17.8)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143 (82.2)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Cesarean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49 (21.0)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184 (79.0)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1.23 (0.75-2.04)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Birth attendant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Health professional / trained attendant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206 (79.5)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Midwife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 (21.3)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59 (78.7)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1.05 (0.55-1.94)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 (84.9)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0.69 (0.32-1.36)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Postnatal care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0.559</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41 (18.4)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182 (81.6)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39 (21.2)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145 (78.8)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1.19 (0.73-1.95)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Nutrition counselling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0.951</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 (19.4)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257 (80.6)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70 (79.5)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1.07 (0.58-1.89)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Child health decisions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0.446</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Mother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77 (83.7)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Mother and husband jointly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56 (21.5)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204 (78.5)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1.41 (0.77-2.72)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Husband or other relative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 (16.4)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46 (83.6)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(0.39-2.44)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Any media access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0.003</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91 (91.0)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71 (23.1)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236 (76.9)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3.04 (1.53-6.76)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Improved sanitation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0.092</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Unimproved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 (95.2)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Improved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79 (20.7)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303 (79.3)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5.21 (1.06-94.29)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Clean cooking fuel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0.025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Solid / polluting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37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199 (84.3)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Clean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43 (25.1)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128 (74.9)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1.81 (1.11-2.97)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Shared toilet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0.562</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65 (83.3)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67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262 (79.6)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1.28 (0.68-2.55)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Separate kitchen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0.018</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 (10.2)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79 (89.8)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71 (22.3)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248 (77.7)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2.51 (1.26-5.60)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Household bank account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0.005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191 (85.7)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48 (26.1)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136 (73.9)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2.11 (1.29-3.49)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Household food groups (0-5)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3.77 (0.94)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3.07 (1.08)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1.99 (1.54-2.62)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&lt;0.001</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Bivariate association between each candidate independent variable and appropriate complementary feeding practice, defined as an IYCF practice score of 7 or more of 9. n = 407 with denominators varying where a variable has missing responses. For categorical variables the Appropriate and Inappropriate columns are n (%) within each level of the variable, and the test is Pearson's chi-squared, or Fisher's exact test with 20,000 Monte Carlo replicates where any expected count falls below five. For continuous variables the two columns are mean (SD) within each outcome group and the test is the Mann-Whitney U test. Crude odds ratios are unadjusted and come from a logistic regression of the outcome on that variable alone, against the first listed level as reference; 'not estimable' marks a level where an empty outcome cell drives the estimate to infinity. Bold marks p &lt;= 0.25, which is the threshold carried into the variable selection in Table 14, following Sheikh et al. (2026). That threshold is deliberately loose: it is a screen for the multivariable model, not a finding, and a variable reaching it here has not been shown to be associated with anything. No adjustment is made for multiple comparisons and none of these tests accounts for clustering within the 25 upazila recruitment sites.</w:t>
      </w:r>
    </w:p>
    <w:p>
      <w:pPr>
        <w:pStyle w:val="Normal"/>
      </w:pPr>
      <w:r>
        <w:t xml:space="preserve"/>
      </w:r>
    </w:p>
    <w:p>
      <w:pPr>
        <w:pStyle w:val="Titre2"/>
      </w:pPr>
      <w:r>
        <w:t xml:space="preserve">Table 14  Variable selection procedure</w:t>
      </w:r>
    </w:p>
    <w:tbl xmlns:a="http://schemas.openxmlformats.org/drawingml/2006/main" xmlns:pic="http://schemas.openxmlformats.org/drawingml/2006/picture">
      <w:tblPr>
        <w:tblLayout w:type="fixed"/>
        <w:jc w:val="center"/>
        <w:tblLook w:firstRow="1" w:lastRow="0" w:firstColumn="0" w:lastColumn="0" w:noHBand="0" w:noVBand="1"/>
      </w:tblPr>
      <w:tblGrid>
        <w:gridCol w:w="2508"/>
        <w:gridCol w:w="1217"/>
        <w:gridCol w:w="1647"/>
        <w:gridCol w:w="762"/>
        <w:gridCol w:w="1689"/>
        <w:gridCol w:w="1467"/>
        <w:gridCol w:w="1442"/>
      </w:tblGrid>
      <w:tr>
        <w:trPr>
          <w:trHeight w:val="43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Bivariate 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Step 1: p &lt;= 0.25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GVIF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VIF (comparable)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Step 2: VIF &lt;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In final model</w:t>
            </w:r>
          </w:p>
        </w:tc>
      </w:tr>
      <w:tr>
        <w:trPr>
          <w:trHeight w:val="4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Household food groups (0-5)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YES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Father's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YES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Wealth quintile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YES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Any media access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YES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Household bank account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YES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Separate kitchen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YES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Clean cooking fuel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Household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YES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Division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YES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ANC visits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YES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Improved sanitation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YES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Birth 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YES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Child 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YES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Currently breastfed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YES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Birth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YES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Child sick at interview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YES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Mother's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YES</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Family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Number of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Child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Religion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Child health decisions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Father's age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Mode of delivery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Father's occupation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Birth attendant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Postnatal care visit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Shared toilet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Mother's occupation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Place of delivery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at marriage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Nutrition counselling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Mother's age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w:t>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Residence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Excluded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Variable selection, following the procedure in Sheikh et al. (2026, Journal of Nutritional Science 15: e50), which is the supervisor's own published analysis of the same indicators. Step 1 screens every candidate on its bivariate association with the outcome and retains those with p &lt;= 0.25; 17 of 34 pass. Step 2 tests the retained set for multicollinearity using the variance inflation factor with a cut-off of 2. Because most candidates are categorical, car::vif returns a generalised VIF; the column 'VIF (comparable)' is the square of GVIF^(1/(2 x df)), which puts a factor on the same scale as a continuous variable so that one cut-off means the same thing for both, and it is the column the rule is applied to. Removed at this step: Clean cooking fuel. 16 variables enter the final model in Table 15, fitted on the 397 children with complete data on all of them. Two cautions. The p &lt;= 0.25 screen is applied to 34 tests with no correction, so it will admit some variables by chance; it is a screen, not evidence. And selecting variables on the same data used to estimate the final model makes the reported confidence intervals narrower and the p-values smaller than they should be, which is a known cost of this procedure and applies equally to the published analysis it follows.</w:t>
      </w:r>
    </w:p>
    <w:p>
      <w:pPr>
        <w:pStyle w:val="Normal"/>
      </w:pPr>
      <w:r>
        <w:t xml:space="preserve"/>
      </w:r>
    </w:p>
    <w:p>
      <w:pPr>
        <w:pStyle w:val="Titre2"/>
      </w:pPr>
      <w:r>
        <w:t xml:space="preserve">Table 15  Multivariable logistic regression for appropriate complementary feeding practice</w:t>
      </w:r>
    </w:p>
    <w:tbl xmlns:a="http://schemas.openxmlformats.org/drawingml/2006/main" xmlns:pic="http://schemas.openxmlformats.org/drawingml/2006/picture">
      <w:tblPr>
        <w:tblLayout w:type="fixed"/>
        <w:jc w:val="center"/>
        <w:tblLook w:firstRow="1" w:lastRow="0" w:firstColumn="0" w:lastColumn="0" w:noHBand="0" w:noVBand="1"/>
      </w:tblPr>
      <w:tblGrid>
        <w:gridCol w:w="3236"/>
        <w:gridCol w:w="1995"/>
        <w:gridCol w:w="911"/>
      </w:tblGrid>
      <w:tr>
        <w:trPr>
          <w:trHeight w:val="43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Adjusted 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w:t>
            </w:r>
          </w:p>
        </w:tc>
      </w:tr>
      <w:tr>
        <w:trPr>
          <w:trHeight w:val="4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Child age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6-8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9-11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1.15 (0.45-2.99)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0.767</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12-17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0.97 (0.42-2.30)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0.940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18-23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2.10 (0.83-5.50)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0.122</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Birth order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Second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0.87 (0.45-1.69)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0.689</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Third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0.68 (0.22-1.92)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0.477</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Fourth or higher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1.63 (0.32-7.56)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0.537</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Birth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&lt;2.5 kg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2.5 kg or 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1.85 (0.66-6.17)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0.273</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Don't know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2.46 (0.73-9.45)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0.162</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Currently breastfed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0.58 (0.21-1.67)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0.300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Child sick at interview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1.09 (0.57-2.09)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0.804</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Mother's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 formal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0.31 (0.05-2.73)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0.244</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0.18 (0.03-1.63)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0.093</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Higher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0.26 (0.03-2.56)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0.210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Higher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0.31 (0.03-3.45)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0.309</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Father's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 formal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6.13 (1.28-51.23)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0.046</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5.50 (1.05-49.79)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0.074</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Higher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8.11 (1.42-77.01)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0.034</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Higher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2.24 (0.31-23.80)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0.452</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Household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4 or fewer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0.50 (0.23-1.06)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0.072</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7 or 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0.82 (0.38-1.77)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0.617</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Wealth quintile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Poorest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Poorer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1.86 (0.55-7.02)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0.330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Middle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3.62 (1.08-13.86)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0.046</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Richer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1.39 (0.36-5.93)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0.645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Richest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3.36 (0.82-15.18)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0.100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Division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Barisal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Chittagong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0.69 (0.17-2.61)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0.590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Dhaka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0.88 (0.28-2.79)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0.819</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Khulna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0.82 (0.26-2.60)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0.737</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Mymensingh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1.47 (0.44-4.86)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0.527</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Rajshahi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1.21 (0.35-4.16)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0.756</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Rangpur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1.85 (0.61-5.80)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0.283</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Sylhet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0.78 (0.16-3.23)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0.745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ANC visits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1.05 (0.27-5.33)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0.949</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4 or 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1.11 (0.29-5.64)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0.888</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Any media access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1.24 (0.50-3.28)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0.648</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Improved sanitation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Unimproved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Improved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3.12 (0.46-63.59)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0.321</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Separate kitchen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2.01 (0.80-5.41)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0.149</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Household bank account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1.19 (0.56-2.52)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0.656</w:t>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Household food groups (0-5) (per unit)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1.85 (1.34-2.60)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&lt;0.001</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Multivariable maximum-likelihood logistic regression (glm) for appropriate complementary feeding practice, an IYCF practice score of 7 or more of 9. Fitted on 397 children with complete data on every model variable, of whom 79 had the outcome. Variables are those surviving both selection steps in Table 14. Odds ratios are adjusted for every other variable in the table, with the first listed level of each categorical variable as the reference. Model chi-squared 83.6 on 38 df, p &lt;0.001; Nagelkerke pseudo R-squared 0.301. No predictor separated the outcome, so ordinary maximum likelihood was used; this was checked rather than assumed, because glm reports convergence even when a coefficient has been driven to the hundreds of thousands. Bold marks p &lt; 0.05. Three limitations belong with this table. The model variables were chosen using the same data that fitted it, so the intervals are narrower and the p-values smaller than they should be. Nothing is adjusted for clustering within the 25 upazila recruitment sites, which narrows the intervals further. And the design is cross-sectional, so nothing here establishes direction: household dietary diversity and child feeding are measured from one respondent in one sitting about the same 24 hours, which is exactly the situation in which shared-method variance inflates an association.</w:t>
      </w:r>
    </w:p>
    <w:p>
      <w:pPr>
        <w:pStyle w:val="Normal"/>
      </w:pPr>
      <w:r>
        <w:t xml:space="preserve"/>
      </w:r>
    </w:p>
    <w:p>
      <w:pPr>
        <w:pStyle w:val="Titre2"/>
      </w:pPr>
      <w:r>
        <w:t xml:space="preserve">Table 16  Parsimonious multivariable logistic regression after backward elimination</w:t>
      </w:r>
    </w:p>
    <w:tbl xmlns:a="http://schemas.openxmlformats.org/drawingml/2006/main" xmlns:pic="http://schemas.openxmlformats.org/drawingml/2006/picture">
      <w:tblPr>
        <w:tblLayout w:type="fixed"/>
        <w:jc w:val="center"/>
        <w:tblLook w:firstRow="1" w:lastRow="0" w:firstColumn="0" w:lastColumn="0" w:noHBand="0" w:noVBand="1"/>
      </w:tblPr>
      <w:tblGrid>
        <w:gridCol w:w="3236"/>
        <w:gridCol w:w="1995"/>
        <w:gridCol w:w="911"/>
      </w:tblGrid>
      <w:tr>
        <w:trPr>
          <w:trHeight w:val="43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Adjusted 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p</w:t>
            </w:r>
          </w:p>
        </w:tc>
      </w:tr>
      <w:tr>
        <w:trPr>
          <w:trHeight w:val="40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Child age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6-8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9-11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1.30 (0.54-3.17)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0.561</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12-17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1.03 (0.47-2.33)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0.948</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18-23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2.57 (1.12-6.12)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0.029</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Father's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 formal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3.49 (0.91-23.08)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0.110</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3.09 (0.78-20.78)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0.158</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Higher 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5.75 (1.37-39.80)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0.033</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Higher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1.84 (0.36-13.89)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0.493</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Household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4 or fewer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0.49 (0.26-0.94)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0.034</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7 or more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0.78 (0.38-1.57)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0.488</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Wealth quintile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Poorest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Poorer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2.05 (0.65-7.27)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0.235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Middle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3.36 (1.12-11.67)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0.039</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Richer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1.38 (0.42-5.03)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0.609</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Richest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3.05 (1.00-10.78)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0.063</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Separate kitchen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1.00 (reference)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2.17 (0.95-5.42)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0.078</w:t>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Household food groups (0-5) (per unit)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1.86 (1.39-2.53)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&lt;0.001</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6"/>
          <w:szCs w:val="16"/>
          <w:color w:val="000000"/>
        </w:rPr>
        <w:t xml:space="preserve">Parsimonious multivariable logistic regression for appropriate complementary feeding practice, obtained by backward elimination on Akaike's information criterion starting from the Table 15 model. Fitted on the same 397 children and 79 events. WHY THIS TABLE EXISTS: Table 15 follows the published selection procedure exactly, and on this sample that procedure is overfitted. It admits 16 variables costing 38 degrees of freedom against 79 events, which is 2.08 events per degree of freedom where the conventional minimum is ten. That is not a criticism of the source paper, whose sample had roughly 264 events and could carry the screen comfortably; it is a consequence of applying the same screen to a sample a fifth of the size. This model uses 15 degrees of freedom, or 5.27 events per degree of freedom. Read the two tables together: a variable that is significant in both is a robust finding, and one significant only in Table 15 should be treated as unstable. Backward elimination carries its own costs, which apply here as much as anywhere: the standard errors and p-values do not account for the selection, so they are optimistic, and the retained set can change with small changes to the data. Nothing is adjusted for clustering within the 25 upazila recruitment sites, and the design is cross-sectional so no estimate here establishes direction.</w:t>
      </w:r>
    </w:p>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2026-09-12T21:03:02Z</dcterms:modified>
  <cp:category/>
</cp:coreProperties>
</file>