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13"/>
        <w:gridCol w:w="1426"/>
      </w:tblGrid>
      <w:tr>
        <w:trPr>
          <w:trHeight w:val="574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135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Surgery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Mastectomy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 (62%)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 (38%)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Chemotherapy received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125 (93%)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Hormone therapy received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(15%)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Targeted therapy received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(8.9%)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Zoledronic acid received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(37%)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Recurrent metastasis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 (75%)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De novo metastatic 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 (47%)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Metastatic burden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 (59%)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2-3 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 (40%)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&gt;3 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(0.8%)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Current disease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Alive with 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 (58%)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Disease free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(13%)</w:t>
            </w:r>
          </w:p>
        </w:tc>
      </w:tr>
      <w:tr>
        <w:trPr>
          <w:trHeight w:val="617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Death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 (29%)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p>
      <w:pPr>
        <w:pStyle w:val=""/>
      </w:pPr>
      <w:r>
        <w:t xml:space="preserve">14(36.8%)Uptake among 38 HR+ Cases</w:t>
      </w:r>
    </w:p>
    <w:p>
      <w:pPr>
        <w:pStyle w:val=""/>
      </w:pPr>
      <w:r>
        <w:t xml:space="preserve">5(23.8%)Uptake among 21 HER2+ Cases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2026-07-13T09:33:37Z</dcterms:modified>
  <cp:category/>
</cp:coreProperties>
</file>