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208"/>
        <w:gridCol w:w="1303"/>
        <w:gridCol w:w="1303"/>
        <w:gridCol w:w="1181"/>
      </w:tblGrid>
      <w:tr>
        <w:trPr>
          <w:trHeight w:val="73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Alive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96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Death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39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Tumor grade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Molecular subtype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0.064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HR+/HER2+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HR+/HER2-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HR-/HER2+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HR-/HER2-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Metastatic burden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2-3 sites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&gt;3 sites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Lung metastasis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(64%)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Liver metastasis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Delayed treatment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Skipped treatment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 Adherent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 (74%)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Adherent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 (65%)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Fisher's exact test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2026-07-13T09:33:40Z</dcterms:modified>
  <cp:category/>
</cp:coreProperties>
</file>