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08"/>
        <w:gridCol w:w="839"/>
        <w:gridCol w:w="1389"/>
        <w:gridCol w:w="1181"/>
        <w:gridCol w:w="839"/>
        <w:gridCol w:w="1634"/>
        <w:gridCol w:w="1181"/>
      </w:tblGrid>
      <w:tr>
        <w:trPr>
          <w:trHeight w:val="6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Univariate analysis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Multivariate analysis</w:t>
            </w:r>
          </w:p>
        </w:tc>
      </w:tr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0.06, 8.66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Tumor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0.25, 4.73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0.00, 10,396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Molecular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0.74, 16.5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0.89, 18,309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0.00, 23,637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0.92, 3.41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0.73, 484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1.55, 6.20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1.13, 5.43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Delayed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Skipped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0.03, 24.5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2026-07-13T09:35:25Z</dcterms:modified>
  <cp:category/>
</cp:coreProperties>
</file>