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54199" w14:textId="77777777" w:rsidR="002337FE" w:rsidRDefault="0044417E" w:rsidP="002337FE">
      <w:pPr>
        <w:pStyle w:val="TableCaption"/>
        <w:keepNext/>
        <w:pBdr>
          <w:top w:val="none" w:sz="0" w:space="0" w:color="000000"/>
          <w:left w:val="none" w:sz="0" w:space="0" w:color="000000"/>
          <w:bottom w:val="none" w:sz="0" w:space="0" w:color="000000"/>
          <w:right w:val="none" w:sz="0" w:space="0" w:color="000000"/>
        </w:pBdr>
        <w:spacing w:after="60"/>
        <w:ind w:right="60"/>
        <w:rPr>
          <w:i w:val="0"/>
          <w:iCs/>
          <w:sz w:val="32"/>
          <w:szCs w:val="32"/>
        </w:rPr>
      </w:pPr>
      <w:r w:rsidRPr="0044417E">
        <w:rPr>
          <w:i w:val="0"/>
          <w:iCs/>
          <w:sz w:val="32"/>
          <w:szCs w:val="32"/>
        </w:rPr>
        <w:t xml:space="preserve">Clinicopathological </w:t>
      </w:r>
      <w:r w:rsidRPr="005828EC">
        <w:rPr>
          <w:i w:val="0"/>
          <w:iCs/>
          <w:color w:val="000000" w:themeColor="text1"/>
          <w:sz w:val="32"/>
          <w:szCs w:val="32"/>
        </w:rPr>
        <w:t>Profiles</w:t>
      </w:r>
      <w:r w:rsidRPr="0044417E">
        <w:rPr>
          <w:i w:val="0"/>
          <w:iCs/>
          <w:sz w:val="32"/>
          <w:szCs w:val="32"/>
        </w:rPr>
        <w:t xml:space="preserve"> and Survival Outcomes of De Novo Versus Recurrent Metastatic Breast Cancer: </w:t>
      </w:r>
    </w:p>
    <w:p w14:paraId="0AD16EEA" w14:textId="25C23F8F" w:rsidR="0044417E" w:rsidRDefault="0044417E" w:rsidP="002337FE">
      <w:pPr>
        <w:pStyle w:val="TableCaption"/>
        <w:keepNext/>
        <w:pBdr>
          <w:top w:val="none" w:sz="0" w:space="0" w:color="000000"/>
          <w:left w:val="none" w:sz="0" w:space="0" w:color="000000"/>
          <w:bottom w:val="none" w:sz="0" w:space="0" w:color="000000"/>
          <w:right w:val="none" w:sz="0" w:space="0" w:color="000000"/>
        </w:pBdr>
        <w:spacing w:after="60"/>
        <w:ind w:right="60"/>
        <w:rPr>
          <w:i w:val="0"/>
          <w:iCs/>
          <w:sz w:val="32"/>
          <w:szCs w:val="32"/>
        </w:rPr>
      </w:pPr>
      <w:r w:rsidRPr="0044417E">
        <w:rPr>
          <w:i w:val="0"/>
          <w:iCs/>
          <w:sz w:val="32"/>
          <w:szCs w:val="32"/>
        </w:rPr>
        <w:t>A Comparative Study</w:t>
      </w:r>
    </w:p>
    <w:p w14:paraId="4A4AB57D" w14:textId="77777777" w:rsidR="00ED3CD5" w:rsidRDefault="00ED3CD5" w:rsidP="005907B2">
      <w:pPr>
        <w:pStyle w:val="Heading2"/>
        <w:numPr>
          <w:ilvl w:val="0"/>
          <w:numId w:val="0"/>
        </w:numPr>
        <w:spacing w:before="0" w:after="120" w:line="360" w:lineRule="auto"/>
        <w:jc w:val="both"/>
        <w:rPr>
          <w:rStyle w:val="s1"/>
          <w:rFonts w:ascii="Times New Roman" w:hAnsi="Times New Roman" w:cs="Times New Roman"/>
          <w:sz w:val="28"/>
          <w:szCs w:val="28"/>
        </w:rPr>
      </w:pPr>
    </w:p>
    <w:p w14:paraId="5C7B38F0" w14:textId="75BF6320" w:rsidR="005907B2" w:rsidRPr="005907B2" w:rsidRDefault="005907B2" w:rsidP="005907B2">
      <w:pPr>
        <w:pStyle w:val="Heading2"/>
        <w:numPr>
          <w:ilvl w:val="0"/>
          <w:numId w:val="0"/>
        </w:numPr>
        <w:spacing w:before="0" w:after="120" w:line="360" w:lineRule="auto"/>
        <w:jc w:val="both"/>
        <w:rPr>
          <w:rStyle w:val="s1"/>
          <w:rFonts w:ascii="Times New Roman" w:hAnsi="Times New Roman" w:cs="Times New Roman"/>
          <w:sz w:val="28"/>
          <w:szCs w:val="28"/>
        </w:rPr>
      </w:pPr>
      <w:r w:rsidRPr="005907B2">
        <w:rPr>
          <w:rStyle w:val="s1"/>
          <w:rFonts w:ascii="Times New Roman" w:hAnsi="Times New Roman" w:cs="Times New Roman"/>
          <w:sz w:val="28"/>
          <w:szCs w:val="28"/>
        </w:rPr>
        <w:t>Abstract</w:t>
      </w:r>
    </w:p>
    <w:p w14:paraId="5E055D31" w14:textId="3145C3F4" w:rsidR="005907B2" w:rsidRPr="005907B2" w:rsidRDefault="005907B2" w:rsidP="005907B2">
      <w:pPr>
        <w:pStyle w:val="Heading2"/>
        <w:numPr>
          <w:ilvl w:val="0"/>
          <w:numId w:val="0"/>
        </w:numPr>
        <w:spacing w:before="0" w:after="120" w:line="360" w:lineRule="auto"/>
        <w:jc w:val="both"/>
        <w:rPr>
          <w:rFonts w:ascii="Times New Roman" w:hAnsi="Times New Roman" w:cs="Times New Roman"/>
          <w:sz w:val="24"/>
          <w:szCs w:val="24"/>
        </w:rPr>
      </w:pPr>
      <w:r w:rsidRPr="005907B2">
        <w:rPr>
          <w:rStyle w:val="s1"/>
          <w:rFonts w:ascii="Times New Roman" w:hAnsi="Times New Roman" w:cs="Times New Roman"/>
          <w:sz w:val="24"/>
          <w:szCs w:val="24"/>
        </w:rPr>
        <w:t>Background</w:t>
      </w:r>
    </w:p>
    <w:p w14:paraId="0A2B6290" w14:textId="0F7CE300" w:rsidR="009345A5" w:rsidRDefault="009345A5" w:rsidP="005907B2">
      <w:pPr>
        <w:pStyle w:val="Heading3"/>
        <w:numPr>
          <w:ilvl w:val="0"/>
          <w:numId w:val="0"/>
        </w:numPr>
        <w:spacing w:before="0" w:after="120" w:line="360" w:lineRule="auto"/>
        <w:jc w:val="both"/>
        <w:rPr>
          <w:rFonts w:ascii="Times New Roman" w:eastAsia="Times New Roman" w:hAnsi="Times New Roman" w:cs="Times New Roman"/>
          <w:b w:val="0"/>
          <w:bCs w:val="0"/>
        </w:rPr>
      </w:pPr>
      <w:r w:rsidRPr="009345A5">
        <w:rPr>
          <w:rFonts w:ascii="Times New Roman" w:eastAsia="Times New Roman" w:hAnsi="Times New Roman" w:cs="Times New Roman"/>
          <w:b w:val="0"/>
          <w:bCs w:val="0"/>
        </w:rPr>
        <w:t xml:space="preserve">De </w:t>
      </w:r>
      <w:proofErr w:type="gramStart"/>
      <w:r w:rsidRPr="009345A5">
        <w:rPr>
          <w:rFonts w:ascii="Times New Roman" w:eastAsia="Times New Roman" w:hAnsi="Times New Roman" w:cs="Times New Roman"/>
          <w:b w:val="0"/>
          <w:bCs w:val="0"/>
        </w:rPr>
        <w:t>novo</w:t>
      </w:r>
      <w:proofErr w:type="gramEnd"/>
      <w:r w:rsidR="001C344D">
        <w:rPr>
          <w:rFonts w:ascii="Times New Roman" w:eastAsia="Times New Roman" w:hAnsi="Times New Roman" w:cs="Times New Roman"/>
          <w:b w:val="0"/>
          <w:bCs w:val="0"/>
        </w:rPr>
        <w:t xml:space="preserve"> </w:t>
      </w:r>
      <w:proofErr w:type="gramStart"/>
      <w:r w:rsidR="001C344D">
        <w:rPr>
          <w:rFonts w:ascii="Times New Roman" w:eastAsia="Times New Roman" w:hAnsi="Times New Roman" w:cs="Times New Roman"/>
          <w:b w:val="0"/>
          <w:bCs w:val="0"/>
        </w:rPr>
        <w:t>condition</w:t>
      </w:r>
      <w:proofErr w:type="gramEnd"/>
      <w:r w:rsidR="001C344D">
        <w:rPr>
          <w:rFonts w:ascii="Times New Roman" w:eastAsia="Times New Roman" w:hAnsi="Times New Roman" w:cs="Times New Roman"/>
          <w:b w:val="0"/>
          <w:bCs w:val="0"/>
        </w:rPr>
        <w:t xml:space="preserve"> in</w:t>
      </w:r>
      <w:r w:rsidRPr="009345A5">
        <w:rPr>
          <w:rFonts w:ascii="Times New Roman" w:eastAsia="Times New Roman" w:hAnsi="Times New Roman" w:cs="Times New Roman"/>
          <w:b w:val="0"/>
          <w:bCs w:val="0"/>
        </w:rPr>
        <w:t xml:space="preserve"> metastatic breast cancer (</w:t>
      </w:r>
      <w:proofErr w:type="spellStart"/>
      <w:r w:rsidRPr="009345A5">
        <w:rPr>
          <w:rFonts w:ascii="Times New Roman" w:eastAsia="Times New Roman" w:hAnsi="Times New Roman" w:cs="Times New Roman"/>
          <w:b w:val="0"/>
          <w:bCs w:val="0"/>
        </w:rPr>
        <w:t>dnMBC</w:t>
      </w:r>
      <w:proofErr w:type="spellEnd"/>
      <w:r w:rsidRPr="009345A5">
        <w:rPr>
          <w:rFonts w:ascii="Times New Roman" w:eastAsia="Times New Roman" w:hAnsi="Times New Roman" w:cs="Times New Roman"/>
          <w:b w:val="0"/>
          <w:bCs w:val="0"/>
        </w:rPr>
        <w:t xml:space="preserve">) and recurrent </w:t>
      </w:r>
      <w:r w:rsidR="001C344D">
        <w:rPr>
          <w:rFonts w:ascii="Times New Roman" w:eastAsia="Times New Roman" w:hAnsi="Times New Roman" w:cs="Times New Roman"/>
          <w:b w:val="0"/>
          <w:bCs w:val="0"/>
        </w:rPr>
        <w:t xml:space="preserve">state of </w:t>
      </w:r>
      <w:r w:rsidRPr="009345A5">
        <w:rPr>
          <w:rFonts w:ascii="Times New Roman" w:eastAsia="Times New Roman" w:hAnsi="Times New Roman" w:cs="Times New Roman"/>
          <w:b w:val="0"/>
          <w:bCs w:val="0"/>
        </w:rPr>
        <w:t>metastatic breast cancer (</w:t>
      </w:r>
      <w:proofErr w:type="spellStart"/>
      <w:r w:rsidRPr="009345A5">
        <w:rPr>
          <w:rFonts w:ascii="Times New Roman" w:eastAsia="Times New Roman" w:hAnsi="Times New Roman" w:cs="Times New Roman"/>
          <w:b w:val="0"/>
          <w:bCs w:val="0"/>
        </w:rPr>
        <w:t>rMBC</w:t>
      </w:r>
      <w:proofErr w:type="spellEnd"/>
      <w:r w:rsidRPr="009345A5">
        <w:rPr>
          <w:rFonts w:ascii="Times New Roman" w:eastAsia="Times New Roman" w:hAnsi="Times New Roman" w:cs="Times New Roman"/>
          <w:b w:val="0"/>
          <w:bCs w:val="0"/>
        </w:rPr>
        <w:t xml:space="preserve">) </w:t>
      </w:r>
      <w:proofErr w:type="gramStart"/>
      <w:r w:rsidRPr="009345A5">
        <w:rPr>
          <w:rFonts w:ascii="Times New Roman" w:eastAsia="Times New Roman" w:hAnsi="Times New Roman" w:cs="Times New Roman"/>
          <w:b w:val="0"/>
          <w:bCs w:val="0"/>
        </w:rPr>
        <w:t>are</w:t>
      </w:r>
      <w:proofErr w:type="gramEnd"/>
      <w:r w:rsidRPr="009345A5">
        <w:rPr>
          <w:rFonts w:ascii="Times New Roman" w:eastAsia="Times New Roman" w:hAnsi="Times New Roman" w:cs="Times New Roman"/>
          <w:b w:val="0"/>
          <w:bCs w:val="0"/>
        </w:rPr>
        <w:t xml:space="preserve"> unique and behave differently and have different outcomes. There is a lack of evidence from low and middle-income countries. In this comparison study, clinicopathological characteristics, treatment and survival were compared between </w:t>
      </w:r>
      <w:proofErr w:type="spellStart"/>
      <w:r w:rsidRPr="009345A5">
        <w:rPr>
          <w:rFonts w:ascii="Times New Roman" w:eastAsia="Times New Roman" w:hAnsi="Times New Roman" w:cs="Times New Roman"/>
          <w:b w:val="0"/>
          <w:bCs w:val="0"/>
        </w:rPr>
        <w:t>dnMBC</w:t>
      </w:r>
      <w:proofErr w:type="spellEnd"/>
      <w:r w:rsidRPr="009345A5">
        <w:rPr>
          <w:rFonts w:ascii="Times New Roman" w:eastAsia="Times New Roman" w:hAnsi="Times New Roman" w:cs="Times New Roman"/>
          <w:b w:val="0"/>
          <w:bCs w:val="0"/>
        </w:rPr>
        <w:t xml:space="preserve"> and </w:t>
      </w:r>
      <w:proofErr w:type="spellStart"/>
      <w:r w:rsidRPr="009345A5">
        <w:rPr>
          <w:rFonts w:ascii="Times New Roman" w:eastAsia="Times New Roman" w:hAnsi="Times New Roman" w:cs="Times New Roman"/>
          <w:b w:val="0"/>
          <w:bCs w:val="0"/>
        </w:rPr>
        <w:t>rMBC</w:t>
      </w:r>
      <w:proofErr w:type="spellEnd"/>
      <w:r w:rsidRPr="009345A5">
        <w:rPr>
          <w:rFonts w:ascii="Times New Roman" w:eastAsia="Times New Roman" w:hAnsi="Times New Roman" w:cs="Times New Roman"/>
          <w:b w:val="0"/>
          <w:bCs w:val="0"/>
        </w:rPr>
        <w:t xml:space="preserve"> patients at a tertiary </w:t>
      </w:r>
      <w:proofErr w:type="spellStart"/>
      <w:r w:rsidRPr="009345A5">
        <w:rPr>
          <w:rFonts w:ascii="Times New Roman" w:eastAsia="Times New Roman" w:hAnsi="Times New Roman" w:cs="Times New Roman"/>
          <w:b w:val="0"/>
          <w:bCs w:val="0"/>
        </w:rPr>
        <w:t>centre</w:t>
      </w:r>
      <w:proofErr w:type="spellEnd"/>
      <w:r w:rsidRPr="009345A5">
        <w:rPr>
          <w:rFonts w:ascii="Times New Roman" w:eastAsia="Times New Roman" w:hAnsi="Times New Roman" w:cs="Times New Roman"/>
          <w:b w:val="0"/>
          <w:bCs w:val="0"/>
        </w:rPr>
        <w:t xml:space="preserve"> in Bangladesh.</w:t>
      </w:r>
    </w:p>
    <w:p w14:paraId="1E12DB0F" w14:textId="66B007E2" w:rsidR="005907B2" w:rsidRPr="005907B2" w:rsidRDefault="005907B2" w:rsidP="005907B2">
      <w:pPr>
        <w:pStyle w:val="Heading3"/>
        <w:numPr>
          <w:ilvl w:val="0"/>
          <w:numId w:val="0"/>
        </w:numPr>
        <w:spacing w:before="0" w:after="120" w:line="360" w:lineRule="auto"/>
        <w:jc w:val="both"/>
        <w:rPr>
          <w:rFonts w:ascii="Times New Roman" w:hAnsi="Times New Roman" w:cs="Times New Roman"/>
        </w:rPr>
      </w:pPr>
      <w:r w:rsidRPr="005907B2">
        <w:rPr>
          <w:rStyle w:val="s1"/>
          <w:rFonts w:ascii="Times New Roman" w:hAnsi="Times New Roman" w:cs="Times New Roman"/>
        </w:rPr>
        <w:t>Methods</w:t>
      </w:r>
    </w:p>
    <w:p w14:paraId="7464DA94" w14:textId="77777777" w:rsidR="009345A5" w:rsidRDefault="009345A5" w:rsidP="005907B2">
      <w:pPr>
        <w:pStyle w:val="Heading3"/>
        <w:numPr>
          <w:ilvl w:val="0"/>
          <w:numId w:val="0"/>
        </w:numPr>
        <w:spacing w:before="0" w:after="120" w:line="360" w:lineRule="auto"/>
        <w:jc w:val="both"/>
        <w:rPr>
          <w:rFonts w:ascii="Times New Roman" w:eastAsia="Times New Roman" w:hAnsi="Times New Roman" w:cs="Times New Roman"/>
          <w:b w:val="0"/>
          <w:bCs w:val="0"/>
        </w:rPr>
      </w:pPr>
      <w:r w:rsidRPr="009345A5">
        <w:rPr>
          <w:rFonts w:ascii="Times New Roman" w:eastAsia="Times New Roman" w:hAnsi="Times New Roman" w:cs="Times New Roman"/>
          <w:b w:val="0"/>
          <w:bCs w:val="0"/>
        </w:rPr>
        <w:t xml:space="preserve">The </w:t>
      </w:r>
      <w:proofErr w:type="spellStart"/>
      <w:r w:rsidRPr="009345A5">
        <w:rPr>
          <w:rFonts w:ascii="Times New Roman" w:eastAsia="Times New Roman" w:hAnsi="Times New Roman" w:cs="Times New Roman"/>
          <w:b w:val="0"/>
          <w:bCs w:val="0"/>
        </w:rPr>
        <w:t>ambispective</w:t>
      </w:r>
      <w:proofErr w:type="spellEnd"/>
      <w:r w:rsidRPr="009345A5">
        <w:rPr>
          <w:rFonts w:ascii="Times New Roman" w:eastAsia="Times New Roman" w:hAnsi="Times New Roman" w:cs="Times New Roman"/>
          <w:b w:val="0"/>
          <w:bCs w:val="0"/>
        </w:rPr>
        <w:t xml:space="preserve"> cohort study was conducted in Rangpur Medical College Hospital, Bangladesh, and women with metastatic breast cancer were identified between June 2023 and July 2024 and followed up until July 2026. Patients with the diagnosis of breast carcinoma with metastasis were selected. </w:t>
      </w:r>
      <w:proofErr w:type="spellStart"/>
      <w:r w:rsidRPr="009345A5">
        <w:rPr>
          <w:rFonts w:ascii="Times New Roman" w:eastAsia="Times New Roman" w:hAnsi="Times New Roman" w:cs="Times New Roman"/>
          <w:b w:val="0"/>
          <w:bCs w:val="0"/>
        </w:rPr>
        <w:t>dnMBC</w:t>
      </w:r>
      <w:proofErr w:type="spellEnd"/>
      <w:r w:rsidRPr="009345A5">
        <w:rPr>
          <w:rFonts w:ascii="Times New Roman" w:eastAsia="Times New Roman" w:hAnsi="Times New Roman" w:cs="Times New Roman"/>
          <w:b w:val="0"/>
          <w:bCs w:val="0"/>
        </w:rPr>
        <w:t xml:space="preserve"> and </w:t>
      </w:r>
      <w:proofErr w:type="spellStart"/>
      <w:r w:rsidRPr="009345A5">
        <w:rPr>
          <w:rFonts w:ascii="Times New Roman" w:eastAsia="Times New Roman" w:hAnsi="Times New Roman" w:cs="Times New Roman"/>
          <w:b w:val="0"/>
          <w:bCs w:val="0"/>
        </w:rPr>
        <w:t>rMBC</w:t>
      </w:r>
      <w:proofErr w:type="spellEnd"/>
      <w:r w:rsidRPr="009345A5">
        <w:rPr>
          <w:rFonts w:ascii="Times New Roman" w:eastAsia="Times New Roman" w:hAnsi="Times New Roman" w:cs="Times New Roman"/>
          <w:b w:val="0"/>
          <w:bCs w:val="0"/>
        </w:rPr>
        <w:t xml:space="preserve"> were compared in terms of baseline, metastatic patterns, treatment and survival (OS). Kaplan–Meier and Cox regression were used for the survival analysis.</w:t>
      </w:r>
    </w:p>
    <w:p w14:paraId="184E8D02" w14:textId="1BF07FD5" w:rsidR="005907B2" w:rsidRPr="005907B2" w:rsidRDefault="005907B2" w:rsidP="005907B2">
      <w:pPr>
        <w:pStyle w:val="Heading3"/>
        <w:numPr>
          <w:ilvl w:val="0"/>
          <w:numId w:val="0"/>
        </w:numPr>
        <w:spacing w:before="0" w:after="120" w:line="360" w:lineRule="auto"/>
        <w:jc w:val="both"/>
        <w:rPr>
          <w:rFonts w:ascii="Times New Roman" w:hAnsi="Times New Roman" w:cs="Times New Roman"/>
        </w:rPr>
      </w:pPr>
      <w:r w:rsidRPr="005907B2">
        <w:rPr>
          <w:rStyle w:val="s1"/>
          <w:rFonts w:ascii="Times New Roman" w:hAnsi="Times New Roman" w:cs="Times New Roman"/>
        </w:rPr>
        <w:t>Results</w:t>
      </w:r>
    </w:p>
    <w:p w14:paraId="276D6DEB" w14:textId="2F9748A9" w:rsidR="009345A5" w:rsidRDefault="009345A5" w:rsidP="005907B2">
      <w:pPr>
        <w:pStyle w:val="Heading3"/>
        <w:numPr>
          <w:ilvl w:val="0"/>
          <w:numId w:val="0"/>
        </w:numPr>
        <w:spacing w:before="0" w:after="120" w:line="360" w:lineRule="auto"/>
        <w:jc w:val="both"/>
        <w:rPr>
          <w:rFonts w:ascii="Times New Roman" w:eastAsia="Times New Roman" w:hAnsi="Times New Roman" w:cs="Times New Roman"/>
          <w:b w:val="0"/>
          <w:bCs w:val="0"/>
        </w:rPr>
      </w:pPr>
      <w:r w:rsidRPr="009345A5">
        <w:rPr>
          <w:rFonts w:ascii="Times New Roman" w:eastAsia="Times New Roman" w:hAnsi="Times New Roman" w:cs="Times New Roman"/>
          <w:b w:val="0"/>
          <w:bCs w:val="0"/>
        </w:rPr>
        <w:t xml:space="preserve">One hundred and thirty-five patients in total were </w:t>
      </w:r>
      <w:proofErr w:type="spellStart"/>
      <w:r w:rsidRPr="009345A5">
        <w:rPr>
          <w:rFonts w:ascii="Times New Roman" w:eastAsia="Times New Roman" w:hAnsi="Times New Roman" w:cs="Times New Roman"/>
          <w:b w:val="0"/>
          <w:bCs w:val="0"/>
        </w:rPr>
        <w:t>analysed</w:t>
      </w:r>
      <w:proofErr w:type="spellEnd"/>
      <w:r w:rsidRPr="009345A5">
        <w:rPr>
          <w:rFonts w:ascii="Times New Roman" w:eastAsia="Times New Roman" w:hAnsi="Times New Roman" w:cs="Times New Roman"/>
          <w:b w:val="0"/>
          <w:bCs w:val="0"/>
        </w:rPr>
        <w:t xml:space="preserve"> (63 with </w:t>
      </w:r>
      <w:proofErr w:type="spellStart"/>
      <w:r w:rsidRPr="009345A5">
        <w:rPr>
          <w:rFonts w:ascii="Times New Roman" w:eastAsia="Times New Roman" w:hAnsi="Times New Roman" w:cs="Times New Roman"/>
          <w:b w:val="0"/>
          <w:bCs w:val="0"/>
        </w:rPr>
        <w:t>dnMBC</w:t>
      </w:r>
      <w:proofErr w:type="spellEnd"/>
      <w:r w:rsidRPr="009345A5">
        <w:rPr>
          <w:rFonts w:ascii="Times New Roman" w:eastAsia="Times New Roman" w:hAnsi="Times New Roman" w:cs="Times New Roman"/>
          <w:b w:val="0"/>
          <w:bCs w:val="0"/>
        </w:rPr>
        <w:t xml:space="preserve"> and 72 with </w:t>
      </w:r>
      <w:proofErr w:type="spellStart"/>
      <w:r w:rsidRPr="009345A5">
        <w:rPr>
          <w:rFonts w:ascii="Times New Roman" w:eastAsia="Times New Roman" w:hAnsi="Times New Roman" w:cs="Times New Roman"/>
          <w:b w:val="0"/>
          <w:bCs w:val="0"/>
        </w:rPr>
        <w:t>rMBC</w:t>
      </w:r>
      <w:proofErr w:type="spellEnd"/>
      <w:r w:rsidRPr="009345A5">
        <w:rPr>
          <w:rFonts w:ascii="Times New Roman" w:eastAsia="Times New Roman" w:hAnsi="Times New Roman" w:cs="Times New Roman"/>
          <w:b w:val="0"/>
          <w:bCs w:val="0"/>
        </w:rPr>
        <w:t xml:space="preserve">). </w:t>
      </w:r>
      <w:proofErr w:type="spellStart"/>
      <w:r w:rsidRPr="009345A5">
        <w:rPr>
          <w:rFonts w:ascii="Times New Roman" w:eastAsia="Times New Roman" w:hAnsi="Times New Roman" w:cs="Times New Roman"/>
          <w:b w:val="0"/>
          <w:bCs w:val="0"/>
        </w:rPr>
        <w:t>dnMBC</w:t>
      </w:r>
      <w:proofErr w:type="spellEnd"/>
      <w:r w:rsidRPr="009345A5">
        <w:rPr>
          <w:rFonts w:ascii="Times New Roman" w:eastAsia="Times New Roman" w:hAnsi="Times New Roman" w:cs="Times New Roman"/>
          <w:b w:val="0"/>
          <w:bCs w:val="0"/>
        </w:rPr>
        <w:t xml:space="preserve"> showed higher estrogen receptor positivity (38% vs. 19%, p=0.022), progesterone receptor positivity (32% vs. 15%, p=0.020), and bone metastasis (60% vs. 35%, p=0.006), while </w:t>
      </w:r>
      <w:proofErr w:type="spellStart"/>
      <w:r w:rsidRPr="009345A5">
        <w:rPr>
          <w:rFonts w:ascii="Times New Roman" w:eastAsia="Times New Roman" w:hAnsi="Times New Roman" w:cs="Times New Roman"/>
          <w:b w:val="0"/>
          <w:bCs w:val="0"/>
        </w:rPr>
        <w:t>rMBC</w:t>
      </w:r>
      <w:proofErr w:type="spellEnd"/>
      <w:r w:rsidRPr="009345A5">
        <w:rPr>
          <w:rFonts w:ascii="Times New Roman" w:eastAsia="Times New Roman" w:hAnsi="Times New Roman" w:cs="Times New Roman"/>
          <w:b w:val="0"/>
          <w:bCs w:val="0"/>
        </w:rPr>
        <w:t xml:space="preserve"> demonstrated a higher proportion of Grade 3 </w:t>
      </w:r>
      <w:r w:rsidR="00ED3CD5" w:rsidRPr="009345A5">
        <w:rPr>
          <w:rFonts w:ascii="Times New Roman" w:eastAsia="Times New Roman" w:hAnsi="Times New Roman" w:cs="Times New Roman"/>
          <w:b w:val="0"/>
          <w:bCs w:val="0"/>
        </w:rPr>
        <w:t>tumors</w:t>
      </w:r>
      <w:r w:rsidRPr="009345A5">
        <w:rPr>
          <w:rFonts w:ascii="Times New Roman" w:eastAsia="Times New Roman" w:hAnsi="Times New Roman" w:cs="Times New Roman"/>
          <w:b w:val="0"/>
          <w:bCs w:val="0"/>
        </w:rPr>
        <w:t xml:space="preserve"> (44% vs. 29%, p=0.012). Hormone receptor positivity was higher in de novo metastatic breast cancer than in recurrent disease (ER: 38% vs. 19%, p = 0.022; PR: 32% vs. 15%, p = 0.020). The OS was significantly better in </w:t>
      </w:r>
      <w:proofErr w:type="spellStart"/>
      <w:r w:rsidRPr="009345A5">
        <w:rPr>
          <w:rFonts w:ascii="Times New Roman" w:eastAsia="Times New Roman" w:hAnsi="Times New Roman" w:cs="Times New Roman"/>
          <w:b w:val="0"/>
          <w:bCs w:val="0"/>
        </w:rPr>
        <w:t>rMBC</w:t>
      </w:r>
      <w:proofErr w:type="spellEnd"/>
      <w:r w:rsidRPr="009345A5">
        <w:rPr>
          <w:rFonts w:ascii="Times New Roman" w:eastAsia="Times New Roman" w:hAnsi="Times New Roman" w:cs="Times New Roman"/>
          <w:b w:val="0"/>
          <w:bCs w:val="0"/>
        </w:rPr>
        <w:t xml:space="preserve"> by Kaplan–Meier analysis (log-rank p=0.045). Univariable analysis showed that recurrent disease was associated with decreased risk of death (HR 0.53, 95% CI 0.29–1.00); however, this association was less prominent after adjustment (adjusted HR 0.47, 95% CI 0.22–1.03).</w:t>
      </w:r>
    </w:p>
    <w:p w14:paraId="27256870" w14:textId="087C664E" w:rsidR="005907B2" w:rsidRPr="005907B2" w:rsidRDefault="005907B2" w:rsidP="005907B2">
      <w:pPr>
        <w:pStyle w:val="Heading3"/>
        <w:numPr>
          <w:ilvl w:val="0"/>
          <w:numId w:val="0"/>
        </w:numPr>
        <w:spacing w:before="0" w:after="120" w:line="360" w:lineRule="auto"/>
        <w:jc w:val="both"/>
        <w:rPr>
          <w:rFonts w:ascii="Times New Roman" w:hAnsi="Times New Roman" w:cs="Times New Roman"/>
        </w:rPr>
      </w:pPr>
      <w:r w:rsidRPr="005907B2">
        <w:rPr>
          <w:rStyle w:val="s1"/>
          <w:rFonts w:ascii="Times New Roman" w:hAnsi="Times New Roman" w:cs="Times New Roman"/>
        </w:rPr>
        <w:t>Conclusions</w:t>
      </w:r>
    </w:p>
    <w:p w14:paraId="18AD6EED" w14:textId="2317D0B6" w:rsidR="009345A5" w:rsidRDefault="009345A5" w:rsidP="005907B2">
      <w:pPr>
        <w:pStyle w:val="p4"/>
        <w:spacing w:before="0" w:beforeAutospacing="0" w:after="120" w:afterAutospacing="0" w:line="360" w:lineRule="auto"/>
        <w:jc w:val="both"/>
      </w:pPr>
      <w:r w:rsidRPr="009345A5">
        <w:lastRenderedPageBreak/>
        <w:t xml:space="preserve">In this Bangladeshi population, </w:t>
      </w:r>
      <w:proofErr w:type="spellStart"/>
      <w:r w:rsidRPr="009345A5">
        <w:t>dnMBC</w:t>
      </w:r>
      <w:proofErr w:type="spellEnd"/>
      <w:r w:rsidRPr="009345A5">
        <w:t xml:space="preserve"> had more favorable hormone receptor expression as well as higher bone involvement, but poorer survival than </w:t>
      </w:r>
      <w:proofErr w:type="spellStart"/>
      <w:r w:rsidRPr="009345A5">
        <w:t>rMBC</w:t>
      </w:r>
      <w:proofErr w:type="spellEnd"/>
      <w:r w:rsidRPr="009345A5">
        <w:t>. Results vary from high-income countries and indicate that factors such as late diagnosis, lack of biomarker access and limited therapies have an influence on outcomes. The study offers real world evidence from a resource poor setting and emphasizes the necessity of improving the access to early detection, pathology and equitable treatment.</w:t>
      </w:r>
    </w:p>
    <w:p w14:paraId="4C1A9A18" w14:textId="1AF734B3" w:rsidR="005907B2" w:rsidRPr="005907B2" w:rsidRDefault="005907B2" w:rsidP="005907B2">
      <w:pPr>
        <w:pStyle w:val="p4"/>
        <w:spacing w:before="0" w:beforeAutospacing="0" w:after="120" w:afterAutospacing="0" w:line="360" w:lineRule="auto"/>
        <w:jc w:val="both"/>
      </w:pPr>
      <w:r w:rsidRPr="005907B2">
        <w:rPr>
          <w:b/>
          <w:bCs/>
        </w:rPr>
        <w:t>Keywords:</w:t>
      </w:r>
      <w:r w:rsidRPr="005907B2">
        <w:t xml:space="preserve"> de novo metastatic breast cancer; recurrent metastatic breast cancer; overall survival; Bangladesh; real-world study.</w:t>
      </w:r>
    </w:p>
    <w:p w14:paraId="3CC08846" w14:textId="77777777" w:rsidR="006619AA" w:rsidRDefault="006619AA" w:rsidP="00220065">
      <w:pPr>
        <w:spacing w:after="120" w:line="360" w:lineRule="auto"/>
        <w:jc w:val="both"/>
        <w:outlineLvl w:val="2"/>
        <w:rPr>
          <w:b/>
          <w:bCs/>
          <w:sz w:val="28"/>
          <w:szCs w:val="28"/>
        </w:rPr>
      </w:pPr>
    </w:p>
    <w:p w14:paraId="7F3754DC" w14:textId="2F71D336" w:rsidR="00D96E41" w:rsidRPr="00220065" w:rsidRDefault="00D96E41" w:rsidP="00220065">
      <w:pPr>
        <w:spacing w:after="120" w:line="360" w:lineRule="auto"/>
        <w:jc w:val="both"/>
        <w:outlineLvl w:val="2"/>
        <w:rPr>
          <w:b/>
          <w:bCs/>
          <w:sz w:val="28"/>
          <w:szCs w:val="28"/>
        </w:rPr>
      </w:pPr>
      <w:r w:rsidRPr="00220065">
        <w:rPr>
          <w:b/>
          <w:bCs/>
          <w:sz w:val="28"/>
          <w:szCs w:val="28"/>
        </w:rPr>
        <w:t>Introduction</w:t>
      </w:r>
    </w:p>
    <w:p w14:paraId="686CED65" w14:textId="6149D637" w:rsidR="009345A5" w:rsidRDefault="009345A5" w:rsidP="009345A5">
      <w:pPr>
        <w:spacing w:after="120" w:line="360" w:lineRule="auto"/>
        <w:jc w:val="both"/>
      </w:pPr>
      <w:r>
        <w:t>Breast cancer is the most prevalent cancer and the main cause of cancer-related mortality among women in the world</w:t>
      </w:r>
      <w:r w:rsidR="00763941">
        <w:t>;</w:t>
      </w:r>
      <w:r>
        <w:t xml:space="preserve"> approximately 685,000 women died of this disease in 2020 [1]. The burden is not even</w:t>
      </w:r>
      <w:r w:rsidR="00763941">
        <w:t>;</w:t>
      </w:r>
      <w:r>
        <w:t xml:space="preserve"> 60% of cases and 70% of deaths occur in low</w:t>
      </w:r>
      <w:r w:rsidR="00763941">
        <w:t>-</w:t>
      </w:r>
      <w:r>
        <w:t xml:space="preserve"> and middle</w:t>
      </w:r>
      <w:r w:rsidR="00763941">
        <w:t>-</w:t>
      </w:r>
      <w:r>
        <w:t xml:space="preserve">income countries [2]. South Asia is disproportionately affected, with 100,000+ cases annually in India and 34,000 in Pakistan [1].  </w:t>
      </w:r>
    </w:p>
    <w:p w14:paraId="35DC3633" w14:textId="272BE83A" w:rsidR="009345A5" w:rsidRDefault="009345A5" w:rsidP="009345A5">
      <w:pPr>
        <w:spacing w:after="120" w:line="360" w:lineRule="auto"/>
        <w:jc w:val="both"/>
      </w:pPr>
      <w:r>
        <w:t>Bangladesh is in the process of an epidemiological transition where non-communicable diseases now cause about 61% of the national mortality rates [2]</w:t>
      </w:r>
      <w:r w:rsidR="00763941">
        <w:t>,</w:t>
      </w:r>
      <w:r>
        <w:t xml:space="preserve"> and breast cancer is one of the major contributors. An estimated 30,000-35,000 new cases are diagnosed each year [2,3] and some 30,000 people a year die from breast cancer [3]. GLOBOCAN 2020 showed that in Bangladesh, 13,028 new cases of breast cancer were diagnosed in 2020 (age-standardized incidence rate: 17/100,000 women), which is likely underrepresented as the national cancer registry is incomplete and there is reliance on hospital-based new cancer case reporting [1].  In a tertiary hospital in Dhaka, breast cancer accounted for 31.2% of all female cancers and</w:t>
      </w:r>
      <w:r w:rsidR="00763941">
        <w:t>,</w:t>
      </w:r>
      <w:r>
        <w:t xml:space="preserve"> to our surprise</w:t>
      </w:r>
      <w:r w:rsidR="00763941">
        <w:t>,</w:t>
      </w:r>
      <w:r>
        <w:t xml:space="preserve"> 68.4% of the cancer patients had advanced</w:t>
      </w:r>
      <w:r w:rsidR="00763941">
        <w:t>-</w:t>
      </w:r>
      <w:r>
        <w:t xml:space="preserve">stage disease (stage III/IV) without any structured population-based screening [4].  </w:t>
      </w:r>
    </w:p>
    <w:p w14:paraId="5C181BB1" w14:textId="5A78CE56" w:rsidR="009345A5" w:rsidRDefault="009345A5" w:rsidP="009345A5">
      <w:pPr>
        <w:spacing w:after="120" w:line="360" w:lineRule="auto"/>
        <w:jc w:val="both"/>
      </w:pPr>
      <w:r>
        <w:t>At the time of diagnosis, approximately 5% – 10% of women with breast cancer have distant metastases (de novo metastatic breast cancer [</w:t>
      </w:r>
      <w:proofErr w:type="spellStart"/>
      <w:r>
        <w:t>dnMBC</w:t>
      </w:r>
      <w:proofErr w:type="spellEnd"/>
      <w:r>
        <w:t>]) [5-7] and another 15% – 20% will develop metastases during their adjuvant treatment or afterward (recurrent or metachronous metastatic breast cancer [</w:t>
      </w:r>
      <w:proofErr w:type="spellStart"/>
      <w:r>
        <w:t>rMBC</w:t>
      </w:r>
      <w:proofErr w:type="spellEnd"/>
      <w:r>
        <w:t xml:space="preserve">]) [5].  Even with the development of systemic treatment, the 5-year overall survival (OS) rate is about 25% for metastatic breast cancer (MBC) [7]. For both presentations, palliative systemic therapy with endocrine, cytotoxic, anti-HER2, CDK4/6 and PARP inhibitor treatments continues to be the standard of care [5,8].  </w:t>
      </w:r>
    </w:p>
    <w:p w14:paraId="23EB34FC" w14:textId="77777777" w:rsidR="009345A5" w:rsidRDefault="009345A5" w:rsidP="009345A5">
      <w:pPr>
        <w:spacing w:after="120" w:line="360" w:lineRule="auto"/>
        <w:jc w:val="both"/>
      </w:pPr>
      <w:r>
        <w:lastRenderedPageBreak/>
        <w:t xml:space="preserve">There is now a growing body of comparative evidence that suggests that </w:t>
      </w:r>
      <w:proofErr w:type="spellStart"/>
      <w:r>
        <w:t>dnMBC</w:t>
      </w:r>
      <w:proofErr w:type="spellEnd"/>
      <w:r>
        <w:t xml:space="preserve"> and </w:t>
      </w:r>
      <w:proofErr w:type="spellStart"/>
      <w:r>
        <w:t>rMBC</w:t>
      </w:r>
      <w:proofErr w:type="spellEnd"/>
      <w:r>
        <w:t xml:space="preserve"> are biologically and prognostically distinct entities and not interchangeable categories [5-7, 9-11]. Nevertheless, most published comparative data come from high income countries in the West where universal health care coverage, well-established cancer registries and access to modern targeted therapies like CD K4/6 inhibitors, pertuzumab and T-DM1 are more commonplace, and the transferability of such data to LMICs like Bangladesh is limited [1,3,4].</w:t>
      </w:r>
    </w:p>
    <w:p w14:paraId="115C7FAA" w14:textId="77777777" w:rsidR="009345A5" w:rsidRDefault="009345A5" w:rsidP="009345A5">
      <w:pPr>
        <w:spacing w:after="120" w:line="360" w:lineRule="auto"/>
        <w:jc w:val="both"/>
      </w:pPr>
      <w:r>
        <w:t xml:space="preserve">In Bangladesh, cancer demographic data and breast cancer outcome data are scarce [1-3,12]. Although the registry of National Institute of Cancer Research and Hospital (NIRRH) and the audits of tertiary hospital have been reporting overall cancer incidence [4,12]; no systematic study has been undertaken to compare the clinicopathological characteristics and survival between </w:t>
      </w:r>
      <w:proofErr w:type="spellStart"/>
      <w:r>
        <w:t>dnMBC</w:t>
      </w:r>
      <w:proofErr w:type="spellEnd"/>
      <w:r>
        <w:t xml:space="preserve"> and </w:t>
      </w:r>
      <w:proofErr w:type="spellStart"/>
      <w:r>
        <w:t>rMBC</w:t>
      </w:r>
      <w:proofErr w:type="spellEnd"/>
      <w:r>
        <w:t xml:space="preserve"> in a Bangladeshi cohort. This is pertinent as approximately 68.4% of breast cancer patients are diagnosed at stage III/IV [4]. In one tertiary </w:t>
      </w:r>
      <w:proofErr w:type="spellStart"/>
      <w:r>
        <w:t>centre</w:t>
      </w:r>
      <w:proofErr w:type="spellEnd"/>
      <w:r>
        <w:t xml:space="preserve"> study, the OS was longer for </w:t>
      </w:r>
      <w:proofErr w:type="spellStart"/>
      <w:r>
        <w:t>dnMBC</w:t>
      </w:r>
      <w:proofErr w:type="spellEnd"/>
      <w:r>
        <w:t xml:space="preserve"> patients (29.0 vs. 21.0 months; p=0.152), indicating that the differences in OS may be affected by the sample size and access to treatment [9].</w:t>
      </w:r>
    </w:p>
    <w:p w14:paraId="249A679D" w14:textId="77777777" w:rsidR="009345A5" w:rsidRDefault="009345A5" w:rsidP="009345A5">
      <w:pPr>
        <w:spacing w:after="120" w:line="360" w:lineRule="auto"/>
        <w:jc w:val="both"/>
      </w:pPr>
      <w:r>
        <w:t xml:space="preserve">In this pilot study, clinicopathological characteristics and survival were assessed between </w:t>
      </w:r>
      <w:proofErr w:type="spellStart"/>
      <w:r>
        <w:t>dnMBC</w:t>
      </w:r>
      <w:proofErr w:type="spellEnd"/>
      <w:r>
        <w:t xml:space="preserve"> and </w:t>
      </w:r>
      <w:proofErr w:type="spellStart"/>
      <w:r>
        <w:t>rMBC</w:t>
      </w:r>
      <w:proofErr w:type="spellEnd"/>
      <w:r>
        <w:t xml:space="preserve"> patients at a Bangladeshi hospital. It was designed to provide region-specific evidence, describe prognostic factors, and evaluate the feasibility of a larger multicenter study to support locally-adapted management strategies.</w:t>
      </w:r>
    </w:p>
    <w:p w14:paraId="187BAA0B" w14:textId="77777777" w:rsidR="005907B2" w:rsidRDefault="005907B2" w:rsidP="00427DDB">
      <w:pPr>
        <w:spacing w:after="120" w:line="360" w:lineRule="auto"/>
        <w:jc w:val="both"/>
        <w:rPr>
          <w:rStyle w:val="s1"/>
          <w:b/>
          <w:bCs/>
          <w:sz w:val="28"/>
          <w:szCs w:val="28"/>
        </w:rPr>
      </w:pPr>
    </w:p>
    <w:p w14:paraId="04AC8CFF" w14:textId="1FDA65AF" w:rsidR="00427DDB" w:rsidRDefault="007842D8" w:rsidP="00427DDB">
      <w:pPr>
        <w:spacing w:after="120" w:line="360" w:lineRule="auto"/>
        <w:jc w:val="both"/>
        <w:rPr>
          <w:rStyle w:val="s1"/>
          <w:b/>
          <w:bCs/>
          <w:sz w:val="28"/>
          <w:szCs w:val="28"/>
        </w:rPr>
      </w:pPr>
      <w:r w:rsidRPr="00427DDB">
        <w:rPr>
          <w:rStyle w:val="s1"/>
          <w:b/>
          <w:bCs/>
          <w:sz w:val="28"/>
          <w:szCs w:val="28"/>
        </w:rPr>
        <w:t>Materials and Methods</w:t>
      </w:r>
    </w:p>
    <w:p w14:paraId="2945F055" w14:textId="77777777" w:rsidR="002A76B8" w:rsidRDefault="00C52A37" w:rsidP="002A76B8">
      <w:pPr>
        <w:spacing w:after="120" w:line="360" w:lineRule="auto"/>
        <w:jc w:val="both"/>
        <w:rPr>
          <w:rStyle w:val="s1"/>
          <w:b/>
          <w:bCs/>
          <w:sz w:val="26"/>
          <w:szCs w:val="26"/>
        </w:rPr>
      </w:pPr>
      <w:r w:rsidRPr="00C52A37">
        <w:rPr>
          <w:rStyle w:val="s1"/>
          <w:b/>
          <w:bCs/>
          <w:sz w:val="26"/>
          <w:szCs w:val="26"/>
        </w:rPr>
        <w:t>Study Design and Setting</w:t>
      </w:r>
    </w:p>
    <w:p w14:paraId="3086E245" w14:textId="399521FE" w:rsidR="009345A5" w:rsidRPr="002A76B8" w:rsidRDefault="009345A5" w:rsidP="002A76B8">
      <w:pPr>
        <w:spacing w:after="120" w:line="360" w:lineRule="auto"/>
        <w:jc w:val="both"/>
        <w:rPr>
          <w:b/>
          <w:bCs/>
          <w:sz w:val="26"/>
          <w:szCs w:val="26"/>
        </w:rPr>
      </w:pPr>
      <w:r w:rsidRPr="009345A5">
        <w:t xml:space="preserve">This </w:t>
      </w:r>
      <w:proofErr w:type="spellStart"/>
      <w:r w:rsidRPr="009345A5">
        <w:t>ambispective</w:t>
      </w:r>
      <w:proofErr w:type="spellEnd"/>
      <w:r w:rsidRPr="009345A5">
        <w:t xml:space="preserve"> cohort study took place at a referral hospital, Rangpur Medical College Hospital, in northern part of Bangladesh. It compared clinicopathological features, metastatic patterns, treatments and survival of de novo metastatic breast cancer (</w:t>
      </w:r>
      <w:proofErr w:type="spellStart"/>
      <w:r w:rsidRPr="009345A5">
        <w:t>dnMBC</w:t>
      </w:r>
      <w:proofErr w:type="spellEnd"/>
      <w:r w:rsidRPr="009345A5">
        <w:t>) with recurrent metastatic breast cancer (</w:t>
      </w:r>
      <w:proofErr w:type="spellStart"/>
      <w:r w:rsidRPr="009345A5">
        <w:t>rMBC</w:t>
      </w:r>
      <w:proofErr w:type="spellEnd"/>
      <w:r w:rsidRPr="009345A5">
        <w:t>). The medical records of patients who received a diagnosis of metastatic breast cancer (</w:t>
      </w:r>
      <w:proofErr w:type="spellStart"/>
      <w:r w:rsidRPr="009345A5">
        <w:t>mBC</w:t>
      </w:r>
      <w:proofErr w:type="spellEnd"/>
      <w:r w:rsidRPr="009345A5">
        <w:t xml:space="preserve">) between June 2023 and July 2024 were retrieved. Retrospective data collection was performed, and patients were followed up until July 2026 for survival results. </w:t>
      </w:r>
    </w:p>
    <w:p w14:paraId="21C9712A" w14:textId="0EFD8FEB" w:rsidR="00427DDB" w:rsidRPr="00427DDB" w:rsidRDefault="00427DDB" w:rsidP="00427DDB">
      <w:pPr>
        <w:pStyle w:val="Heading2"/>
        <w:numPr>
          <w:ilvl w:val="0"/>
          <w:numId w:val="0"/>
        </w:numPr>
        <w:spacing w:before="0" w:after="120" w:line="360" w:lineRule="auto"/>
        <w:jc w:val="both"/>
        <w:rPr>
          <w:rFonts w:ascii="Times New Roman" w:hAnsi="Times New Roman" w:cs="Times New Roman"/>
        </w:rPr>
      </w:pPr>
      <w:r w:rsidRPr="00427DDB">
        <w:rPr>
          <w:rStyle w:val="s1"/>
          <w:rFonts w:ascii="Times New Roman" w:hAnsi="Times New Roman" w:cs="Times New Roman"/>
        </w:rPr>
        <w:lastRenderedPageBreak/>
        <w:t>Participants</w:t>
      </w:r>
    </w:p>
    <w:p w14:paraId="27677B18" w14:textId="77777777" w:rsidR="009345A5" w:rsidRPr="009345A5" w:rsidRDefault="009345A5" w:rsidP="009345A5">
      <w:pPr>
        <w:pStyle w:val="Heading2"/>
        <w:numPr>
          <w:ilvl w:val="0"/>
          <w:numId w:val="0"/>
        </w:numPr>
        <w:spacing w:before="0" w:after="120" w:line="360" w:lineRule="auto"/>
        <w:jc w:val="both"/>
        <w:rPr>
          <w:rFonts w:ascii="Times New Roman" w:eastAsia="Times New Roman" w:hAnsi="Times New Roman" w:cs="Times New Roman"/>
          <w:b w:val="0"/>
          <w:bCs w:val="0"/>
          <w:sz w:val="24"/>
          <w:szCs w:val="24"/>
        </w:rPr>
      </w:pPr>
      <w:r w:rsidRPr="009345A5">
        <w:rPr>
          <w:rFonts w:ascii="Times New Roman" w:eastAsia="Times New Roman" w:hAnsi="Times New Roman" w:cs="Times New Roman"/>
          <w:b w:val="0"/>
          <w:bCs w:val="0"/>
          <w:sz w:val="24"/>
          <w:szCs w:val="24"/>
        </w:rPr>
        <w:t>In the routine practice of our institution, women with metastatic disease were confirmed by radiological imaging or pathological findings or both at age 18 years or older. As previously described, patients were considered to have de novo metastatic breast cancer (</w:t>
      </w:r>
      <w:proofErr w:type="spellStart"/>
      <w:r w:rsidRPr="009345A5">
        <w:rPr>
          <w:rFonts w:ascii="Times New Roman" w:eastAsia="Times New Roman" w:hAnsi="Times New Roman" w:cs="Times New Roman"/>
          <w:b w:val="0"/>
          <w:bCs w:val="0"/>
          <w:sz w:val="24"/>
          <w:szCs w:val="24"/>
        </w:rPr>
        <w:t>mBC</w:t>
      </w:r>
      <w:proofErr w:type="spellEnd"/>
      <w:r w:rsidRPr="009345A5">
        <w:rPr>
          <w:rFonts w:ascii="Times New Roman" w:eastAsia="Times New Roman" w:hAnsi="Times New Roman" w:cs="Times New Roman"/>
          <w:b w:val="0"/>
          <w:bCs w:val="0"/>
          <w:sz w:val="24"/>
          <w:szCs w:val="24"/>
        </w:rPr>
        <w:t>) if metastases were detected at the time of the first breast cancer diagnosis and as having recurrent metastatic breast cancer (</w:t>
      </w:r>
      <w:proofErr w:type="spellStart"/>
      <w:r w:rsidRPr="009345A5">
        <w:rPr>
          <w:rFonts w:ascii="Times New Roman" w:eastAsia="Times New Roman" w:hAnsi="Times New Roman" w:cs="Times New Roman"/>
          <w:b w:val="0"/>
          <w:bCs w:val="0"/>
          <w:sz w:val="24"/>
          <w:szCs w:val="24"/>
        </w:rPr>
        <w:t>mBC</w:t>
      </w:r>
      <w:proofErr w:type="spellEnd"/>
      <w:r w:rsidRPr="009345A5">
        <w:rPr>
          <w:rFonts w:ascii="Times New Roman" w:eastAsia="Times New Roman" w:hAnsi="Times New Roman" w:cs="Times New Roman"/>
          <w:b w:val="0"/>
          <w:bCs w:val="0"/>
          <w:sz w:val="24"/>
          <w:szCs w:val="24"/>
        </w:rPr>
        <w:t>) if the metastases were diagnosed after the first breast cancer diagnosis and treatment and the development of distant metastases.</w:t>
      </w:r>
    </w:p>
    <w:p w14:paraId="47EA1E30" w14:textId="77777777" w:rsidR="009345A5" w:rsidRPr="009345A5" w:rsidRDefault="009345A5" w:rsidP="009345A5">
      <w:pPr>
        <w:pStyle w:val="Heading2"/>
        <w:numPr>
          <w:ilvl w:val="0"/>
          <w:numId w:val="0"/>
        </w:numPr>
        <w:spacing w:before="0" w:after="120" w:line="360" w:lineRule="auto"/>
        <w:jc w:val="both"/>
        <w:rPr>
          <w:rFonts w:ascii="Times New Roman" w:eastAsia="Times New Roman" w:hAnsi="Times New Roman" w:cs="Times New Roman"/>
          <w:b w:val="0"/>
          <w:bCs w:val="0"/>
          <w:sz w:val="24"/>
          <w:szCs w:val="24"/>
        </w:rPr>
      </w:pPr>
      <w:r w:rsidRPr="009345A5">
        <w:rPr>
          <w:rFonts w:ascii="Times New Roman" w:eastAsia="Times New Roman" w:hAnsi="Times New Roman" w:cs="Times New Roman"/>
          <w:b w:val="0"/>
          <w:bCs w:val="0"/>
          <w:sz w:val="24"/>
          <w:szCs w:val="24"/>
        </w:rPr>
        <w:t>Patients with incomplete clinical records, inadequate information for determining metastasis status, second primary malignancy at the same time and patients who were not followed up for the baseline confirmation were excluded.</w:t>
      </w:r>
    </w:p>
    <w:p w14:paraId="0A3A3ABC" w14:textId="7B94E270" w:rsidR="005907B2" w:rsidRDefault="009345A5" w:rsidP="009345A5">
      <w:pPr>
        <w:pStyle w:val="Heading2"/>
        <w:numPr>
          <w:ilvl w:val="0"/>
          <w:numId w:val="0"/>
        </w:numPr>
        <w:spacing w:before="0" w:after="120" w:line="360" w:lineRule="auto"/>
        <w:jc w:val="both"/>
        <w:rPr>
          <w:rFonts w:ascii="Times New Roman" w:eastAsia="Times New Roman" w:hAnsi="Times New Roman" w:cs="Times New Roman"/>
          <w:b w:val="0"/>
          <w:bCs w:val="0"/>
          <w:sz w:val="24"/>
          <w:szCs w:val="24"/>
        </w:rPr>
      </w:pPr>
      <w:r w:rsidRPr="009345A5">
        <w:rPr>
          <w:rFonts w:ascii="Times New Roman" w:eastAsia="Times New Roman" w:hAnsi="Times New Roman" w:cs="Times New Roman"/>
          <w:b w:val="0"/>
          <w:bCs w:val="0"/>
          <w:sz w:val="24"/>
          <w:szCs w:val="24"/>
        </w:rPr>
        <w:t xml:space="preserve">A total of 148 metastatic breast cancer patients were found in the study period. 13 patients were excluded due to incomplete records (n = 8), loss to follow-up before baseline confirmation (n = 3) or the presence of a second primary malignancy (n = 2). A final study cohort of 135 patients (63 patients with </w:t>
      </w:r>
      <w:proofErr w:type="spellStart"/>
      <w:r w:rsidRPr="009345A5">
        <w:rPr>
          <w:rFonts w:ascii="Times New Roman" w:eastAsia="Times New Roman" w:hAnsi="Times New Roman" w:cs="Times New Roman"/>
          <w:b w:val="0"/>
          <w:bCs w:val="0"/>
          <w:sz w:val="24"/>
          <w:szCs w:val="24"/>
        </w:rPr>
        <w:t>dnMBC</w:t>
      </w:r>
      <w:proofErr w:type="spellEnd"/>
      <w:r w:rsidRPr="009345A5">
        <w:rPr>
          <w:rFonts w:ascii="Times New Roman" w:eastAsia="Times New Roman" w:hAnsi="Times New Roman" w:cs="Times New Roman"/>
          <w:b w:val="0"/>
          <w:bCs w:val="0"/>
          <w:sz w:val="24"/>
          <w:szCs w:val="24"/>
        </w:rPr>
        <w:t xml:space="preserve"> and 72 patients with </w:t>
      </w:r>
      <w:proofErr w:type="spellStart"/>
      <w:r w:rsidRPr="009345A5">
        <w:rPr>
          <w:rFonts w:ascii="Times New Roman" w:eastAsia="Times New Roman" w:hAnsi="Times New Roman" w:cs="Times New Roman"/>
          <w:b w:val="0"/>
          <w:bCs w:val="0"/>
          <w:sz w:val="24"/>
          <w:szCs w:val="24"/>
        </w:rPr>
        <w:t>rMBC</w:t>
      </w:r>
      <w:proofErr w:type="spellEnd"/>
      <w:r w:rsidRPr="009345A5">
        <w:rPr>
          <w:rFonts w:ascii="Times New Roman" w:eastAsia="Times New Roman" w:hAnsi="Times New Roman" w:cs="Times New Roman"/>
          <w:b w:val="0"/>
          <w:bCs w:val="0"/>
          <w:sz w:val="24"/>
          <w:szCs w:val="24"/>
        </w:rPr>
        <w:t>) was included. The participant selection process is shown in Figure 1.</w:t>
      </w:r>
    </w:p>
    <w:p w14:paraId="57D3C24C" w14:textId="2B52EBFD" w:rsidR="00B113B5" w:rsidRPr="00B113B5" w:rsidRDefault="003216CE" w:rsidP="00B113B5">
      <w:r>
        <w:rPr>
          <w:noProof/>
        </w:rPr>
        <w:lastRenderedPageBreak/>
        <w:drawing>
          <wp:inline distT="0" distB="0" distL="0" distR="0" wp14:anchorId="27341F61" wp14:editId="652DD039">
            <wp:extent cx="5756910" cy="6264275"/>
            <wp:effectExtent l="0" t="0" r="0" b="0"/>
            <wp:docPr id="16440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8632" name="Picture 164408632"/>
                    <pic:cNvPicPr/>
                  </pic:nvPicPr>
                  <pic:blipFill>
                    <a:blip r:embed="rId7"/>
                    <a:stretch>
                      <a:fillRect/>
                    </a:stretch>
                  </pic:blipFill>
                  <pic:spPr>
                    <a:xfrm>
                      <a:off x="0" y="0"/>
                      <a:ext cx="5756910" cy="6264275"/>
                    </a:xfrm>
                    <a:prstGeom prst="rect">
                      <a:avLst/>
                    </a:prstGeom>
                  </pic:spPr>
                </pic:pic>
              </a:graphicData>
            </a:graphic>
          </wp:inline>
        </w:drawing>
      </w:r>
    </w:p>
    <w:p w14:paraId="3B634873" w14:textId="77777777" w:rsidR="005907B2" w:rsidRDefault="005907B2" w:rsidP="00C52A37">
      <w:pPr>
        <w:pStyle w:val="p2"/>
        <w:spacing w:before="0" w:beforeAutospacing="0" w:after="120" w:afterAutospacing="0" w:line="360" w:lineRule="auto"/>
        <w:rPr>
          <w:rStyle w:val="s1"/>
          <w:b/>
          <w:bCs/>
          <w:sz w:val="28"/>
          <w:szCs w:val="28"/>
        </w:rPr>
      </w:pPr>
    </w:p>
    <w:p w14:paraId="38524ED2" w14:textId="77777777" w:rsidR="00B113B5" w:rsidRDefault="00B113B5" w:rsidP="00B113B5">
      <w:pPr>
        <w:pStyle w:val="p2"/>
        <w:spacing w:before="0" w:beforeAutospacing="0" w:after="120" w:afterAutospacing="0" w:line="360" w:lineRule="auto"/>
        <w:jc w:val="center"/>
        <w:rPr>
          <w:rStyle w:val="s1"/>
          <w:b/>
          <w:bCs/>
          <w:sz w:val="28"/>
          <w:szCs w:val="28"/>
        </w:rPr>
      </w:pPr>
      <w:r>
        <w:rPr>
          <w:rStyle w:val="s1"/>
          <w:b/>
          <w:bCs/>
          <w:sz w:val="28"/>
          <w:szCs w:val="28"/>
        </w:rPr>
        <w:t>Figure 1: F</w:t>
      </w:r>
      <w:r w:rsidRPr="00C52A37">
        <w:rPr>
          <w:rStyle w:val="s1"/>
          <w:b/>
          <w:bCs/>
          <w:sz w:val="28"/>
          <w:szCs w:val="28"/>
        </w:rPr>
        <w:t>low diagram of participant selection and follow-up.</w:t>
      </w:r>
    </w:p>
    <w:p w14:paraId="38FC0B82" w14:textId="77777777" w:rsidR="00B113B5" w:rsidRDefault="00B113B5" w:rsidP="00C52A37">
      <w:pPr>
        <w:pStyle w:val="p2"/>
        <w:spacing w:before="0" w:beforeAutospacing="0" w:after="120" w:afterAutospacing="0" w:line="360" w:lineRule="auto"/>
        <w:rPr>
          <w:rStyle w:val="s1"/>
          <w:b/>
          <w:bCs/>
          <w:sz w:val="28"/>
          <w:szCs w:val="28"/>
        </w:rPr>
      </w:pPr>
    </w:p>
    <w:p w14:paraId="6B020FA5" w14:textId="77777777" w:rsidR="00B113B5" w:rsidRDefault="00B113B5" w:rsidP="00C52A37">
      <w:pPr>
        <w:pStyle w:val="p2"/>
        <w:spacing w:before="0" w:beforeAutospacing="0" w:after="120" w:afterAutospacing="0" w:line="360" w:lineRule="auto"/>
        <w:rPr>
          <w:rStyle w:val="s1"/>
          <w:b/>
          <w:bCs/>
          <w:sz w:val="26"/>
          <w:szCs w:val="26"/>
        </w:rPr>
      </w:pPr>
    </w:p>
    <w:p w14:paraId="48DD9B2D" w14:textId="77777777" w:rsidR="00B113B5" w:rsidRDefault="00B113B5" w:rsidP="00C52A37">
      <w:pPr>
        <w:pStyle w:val="p2"/>
        <w:spacing w:before="0" w:beforeAutospacing="0" w:after="120" w:afterAutospacing="0" w:line="360" w:lineRule="auto"/>
        <w:rPr>
          <w:rStyle w:val="s1"/>
          <w:b/>
          <w:bCs/>
          <w:sz w:val="26"/>
          <w:szCs w:val="26"/>
        </w:rPr>
      </w:pPr>
    </w:p>
    <w:p w14:paraId="436B2DF1" w14:textId="77777777" w:rsidR="00B113B5" w:rsidRDefault="00B113B5" w:rsidP="00C52A37">
      <w:pPr>
        <w:pStyle w:val="p2"/>
        <w:spacing w:before="0" w:beforeAutospacing="0" w:after="120" w:afterAutospacing="0" w:line="360" w:lineRule="auto"/>
        <w:rPr>
          <w:rStyle w:val="s1"/>
          <w:b/>
          <w:bCs/>
          <w:sz w:val="26"/>
          <w:szCs w:val="26"/>
        </w:rPr>
      </w:pPr>
    </w:p>
    <w:p w14:paraId="081C7409" w14:textId="77777777" w:rsidR="003216CE" w:rsidRDefault="003216CE" w:rsidP="00C52A37">
      <w:pPr>
        <w:pStyle w:val="p2"/>
        <w:spacing w:before="0" w:beforeAutospacing="0" w:after="120" w:afterAutospacing="0" w:line="360" w:lineRule="auto"/>
        <w:rPr>
          <w:rStyle w:val="s1"/>
          <w:b/>
          <w:bCs/>
          <w:sz w:val="26"/>
          <w:szCs w:val="26"/>
        </w:rPr>
      </w:pPr>
    </w:p>
    <w:p w14:paraId="5E49FFEC" w14:textId="3F5538A7" w:rsidR="007842D8" w:rsidRPr="00C52A37" w:rsidRDefault="007842D8" w:rsidP="00C52A37">
      <w:pPr>
        <w:pStyle w:val="p2"/>
        <w:spacing w:before="0" w:beforeAutospacing="0" w:after="120" w:afterAutospacing="0" w:line="360" w:lineRule="auto"/>
        <w:rPr>
          <w:rStyle w:val="s1"/>
          <w:sz w:val="26"/>
          <w:szCs w:val="26"/>
        </w:rPr>
      </w:pPr>
      <w:r w:rsidRPr="00C52A37">
        <w:rPr>
          <w:rStyle w:val="s1"/>
          <w:b/>
          <w:bCs/>
          <w:sz w:val="26"/>
          <w:szCs w:val="26"/>
        </w:rPr>
        <w:lastRenderedPageBreak/>
        <w:t>Operational Definitions</w:t>
      </w:r>
    </w:p>
    <w:p w14:paraId="715F8D9D" w14:textId="77777777" w:rsidR="009345A5" w:rsidRDefault="009345A5" w:rsidP="009345A5">
      <w:pPr>
        <w:spacing w:after="120" w:line="360" w:lineRule="auto"/>
        <w:jc w:val="both"/>
      </w:pPr>
      <w:r>
        <w:t>De novo MBC (</w:t>
      </w:r>
      <w:proofErr w:type="spellStart"/>
      <w:r>
        <w:t>dnMBC</w:t>
      </w:r>
      <w:proofErr w:type="spellEnd"/>
      <w:r>
        <w:t>) defined as distant metastatic disease at the time of the diagnosis of the primary breast cancer. Recurrent metastatic breast cancer (</w:t>
      </w:r>
      <w:proofErr w:type="spellStart"/>
      <w:r>
        <w:t>rMBC</w:t>
      </w:r>
      <w:proofErr w:type="spellEnd"/>
      <w:r>
        <w:t>) was defined as the occurrence of distant metastatic disease after the treatment of non-metastatic breast cancer (MBC).</w:t>
      </w:r>
    </w:p>
    <w:p w14:paraId="79C8C2A2" w14:textId="77777777" w:rsidR="009345A5" w:rsidRDefault="009345A5" w:rsidP="009345A5">
      <w:pPr>
        <w:spacing w:after="120" w:line="360" w:lineRule="auto"/>
        <w:jc w:val="both"/>
      </w:pPr>
      <w:r>
        <w:t>Hormone receptor (HR) positive was defined as estrogen receptor (ER) and/or progesterone receptor (PR) positive based on pathology report, if such information was available. Clinical subtypes included HR+/HER2+, HR+/HER2−, HR−/HER2+, and HR−/HER2−.</w:t>
      </w:r>
    </w:p>
    <w:p w14:paraId="25DFB1C5" w14:textId="77777777" w:rsidR="009345A5" w:rsidRDefault="009345A5" w:rsidP="009345A5">
      <w:pPr>
        <w:spacing w:after="120" w:line="360" w:lineRule="auto"/>
        <w:jc w:val="both"/>
      </w:pPr>
      <w:r>
        <w:t>The number of metastatic sites was divided into three groups, single-site metastasis, 2–3 metastatic sites, and &gt;3 metastatic sites.</w:t>
      </w:r>
    </w:p>
    <w:p w14:paraId="765F7166" w14:textId="77777777" w:rsidR="009345A5" w:rsidRDefault="009345A5" w:rsidP="009345A5">
      <w:pPr>
        <w:spacing w:after="120" w:line="360" w:lineRule="auto"/>
        <w:jc w:val="both"/>
      </w:pPr>
      <w:r>
        <w:t>Overall survival (OS) was calculated as the time from the diagnosis of metastatic breast cancer to death from any cause or to the last follow-up for censored patients.</w:t>
      </w:r>
    </w:p>
    <w:p w14:paraId="1991EE81" w14:textId="3362F50B" w:rsidR="007842D8" w:rsidRPr="00C52A37" w:rsidRDefault="007842D8" w:rsidP="009345A5">
      <w:pPr>
        <w:spacing w:after="120" w:line="360" w:lineRule="auto"/>
        <w:jc w:val="both"/>
        <w:rPr>
          <w:rStyle w:val="s1"/>
          <w:b/>
          <w:bCs/>
          <w:sz w:val="26"/>
          <w:szCs w:val="26"/>
        </w:rPr>
      </w:pPr>
      <w:r w:rsidRPr="00C52A37">
        <w:rPr>
          <w:rStyle w:val="s1"/>
          <w:b/>
          <w:bCs/>
          <w:sz w:val="26"/>
          <w:szCs w:val="26"/>
        </w:rPr>
        <w:t>Data Collection and Variables</w:t>
      </w:r>
    </w:p>
    <w:p w14:paraId="4EC31257" w14:textId="77777777" w:rsidR="009345A5" w:rsidRDefault="009345A5" w:rsidP="009345A5">
      <w:pPr>
        <w:spacing w:after="120" w:line="360" w:lineRule="auto"/>
        <w:jc w:val="both"/>
      </w:pPr>
      <w:r>
        <w:t xml:space="preserve">Data were collected at a later time from medical records and follow-up documents with a pre-designed structured data collection form. The demographics variables included age, place of residence, educational status and monthly income of the household. The clinicopathological variables evaluated were </w:t>
      </w:r>
      <w:proofErr w:type="spellStart"/>
      <w:r>
        <w:t>tumour</w:t>
      </w:r>
      <w:proofErr w:type="spellEnd"/>
      <w:r>
        <w:t xml:space="preserve"> grade, ER, PR and the HER2 status and molecular subtypes.</w:t>
      </w:r>
    </w:p>
    <w:p w14:paraId="2CA3813A" w14:textId="77777777" w:rsidR="009345A5" w:rsidRDefault="009345A5" w:rsidP="009345A5">
      <w:pPr>
        <w:spacing w:after="120" w:line="360" w:lineRule="auto"/>
        <w:jc w:val="both"/>
      </w:pPr>
      <w:r>
        <w:t>Disease factors included metastatic burden and location of the metastases (bone, lung, liver, central nervous system (CNS), contralateral breast, other/multiple).</w:t>
      </w:r>
    </w:p>
    <w:p w14:paraId="17A15DF2" w14:textId="77777777" w:rsidR="009345A5" w:rsidRDefault="009345A5" w:rsidP="009345A5">
      <w:pPr>
        <w:spacing w:after="120" w:line="360" w:lineRule="auto"/>
        <w:jc w:val="both"/>
      </w:pPr>
      <w:r>
        <w:t>The following treatment variables were considered: systemic treatment, chemotherapy, endocrine therapy, HER2-targeted therapy, palliative radiotherapy, zoledronic acid, treatment delay, treatment adherence, symptomatic response and radiological response.</w:t>
      </w:r>
    </w:p>
    <w:p w14:paraId="3FE7A02F" w14:textId="77777777" w:rsidR="009345A5" w:rsidRDefault="009345A5" w:rsidP="009345A5">
      <w:pPr>
        <w:spacing w:after="120" w:line="360" w:lineRule="auto"/>
        <w:jc w:val="both"/>
      </w:pPr>
      <w:r>
        <w:t>Available pathology report for hormone receptor status and HER2 status were documented. Those that were not documented as having a biomarker assessment were classified as “unknown” and included in analyses. No imputations were made for missing biomarker data.</w:t>
      </w:r>
    </w:p>
    <w:p w14:paraId="22AC3539" w14:textId="5688245B" w:rsidR="007842D8" w:rsidRPr="00C52A37" w:rsidRDefault="007842D8" w:rsidP="009345A5">
      <w:pPr>
        <w:spacing w:after="120" w:line="360" w:lineRule="auto"/>
        <w:jc w:val="both"/>
        <w:rPr>
          <w:rStyle w:val="s1"/>
          <w:b/>
          <w:bCs/>
          <w:sz w:val="26"/>
          <w:szCs w:val="26"/>
        </w:rPr>
      </w:pPr>
      <w:r w:rsidRPr="00C52A37">
        <w:rPr>
          <w:rStyle w:val="s1"/>
          <w:b/>
          <w:bCs/>
          <w:sz w:val="26"/>
          <w:szCs w:val="26"/>
        </w:rPr>
        <w:t>Follow-up and Outcome Assessment</w:t>
      </w:r>
    </w:p>
    <w:p w14:paraId="02AF2E14" w14:textId="77777777" w:rsidR="009345A5" w:rsidRDefault="009345A5" w:rsidP="009345A5">
      <w:pPr>
        <w:spacing w:after="120" w:line="360" w:lineRule="auto"/>
        <w:jc w:val="both"/>
      </w:pPr>
      <w:r>
        <w:t xml:space="preserve">Patients were followed from the date of diagnosis of metastatic breast cancer until death from any cause or administrative censoring date (July 2026). Survival was determined by assessing both hospital records and by making follow-up visits or by direct telephone communication </w:t>
      </w:r>
      <w:r>
        <w:lastRenderedPageBreak/>
        <w:t>with the patient or by telephone communication with family members/caregivers if the patient could not be reached directly.</w:t>
      </w:r>
    </w:p>
    <w:p w14:paraId="174E2A92" w14:textId="77777777" w:rsidR="009345A5" w:rsidRDefault="009345A5" w:rsidP="009345A5">
      <w:pPr>
        <w:spacing w:after="120" w:line="360" w:lineRule="auto"/>
        <w:jc w:val="both"/>
      </w:pPr>
      <w:r>
        <w:t xml:space="preserve">The primary outcome was overall survival. Secondary outcomes included differences in clinicopathological characteristics, patterns of metastases, use of treatment, responses to treatment, and adherence to treatment between </w:t>
      </w:r>
      <w:proofErr w:type="spellStart"/>
      <w:r>
        <w:t>dnMBC</w:t>
      </w:r>
      <w:proofErr w:type="spellEnd"/>
      <w:r>
        <w:t xml:space="preserve"> and </w:t>
      </w:r>
      <w:proofErr w:type="spellStart"/>
      <w:r>
        <w:t>rMBC</w:t>
      </w:r>
      <w:proofErr w:type="spellEnd"/>
      <w:r>
        <w:t>.</w:t>
      </w:r>
    </w:p>
    <w:p w14:paraId="22FF9A87" w14:textId="05CFFDF4" w:rsidR="007842D8" w:rsidRPr="00C52A37" w:rsidRDefault="007842D8" w:rsidP="009345A5">
      <w:pPr>
        <w:spacing w:after="120" w:line="360" w:lineRule="auto"/>
        <w:jc w:val="both"/>
        <w:rPr>
          <w:rStyle w:val="s1"/>
          <w:b/>
          <w:bCs/>
          <w:sz w:val="26"/>
          <w:szCs w:val="26"/>
        </w:rPr>
      </w:pPr>
      <w:r w:rsidRPr="00C52A37">
        <w:rPr>
          <w:rStyle w:val="s1"/>
          <w:b/>
          <w:bCs/>
          <w:sz w:val="26"/>
          <w:szCs w:val="26"/>
        </w:rPr>
        <w:t>Bias and Study Size</w:t>
      </w:r>
    </w:p>
    <w:p w14:paraId="05D37667" w14:textId="77777777" w:rsidR="009345A5" w:rsidRDefault="009345A5" w:rsidP="00C52A37">
      <w:pPr>
        <w:spacing w:after="120" w:line="360" w:lineRule="auto"/>
        <w:jc w:val="both"/>
      </w:pPr>
      <w:r w:rsidRPr="009345A5">
        <w:t>Consequently, to reduce the chance of selection bias, consecutive patients eligible for the study were included during the study time period. To reduce the information bias and make the data consistent, the data abstraction procedure was standardized and a data collection form was predetermined. Since the objective of this study was to obtain baseline data about metastatic breast cancer results in a Bangladeshi tertiary-care facility, no formal sample size calculation was done. All eligible patients with identified charts were included in the analyses.</w:t>
      </w:r>
    </w:p>
    <w:p w14:paraId="1AEC0AEE" w14:textId="6792CD1B" w:rsidR="007842D8" w:rsidRPr="00C52A37" w:rsidRDefault="007842D8" w:rsidP="00C52A37">
      <w:pPr>
        <w:spacing w:after="120" w:line="360" w:lineRule="auto"/>
        <w:jc w:val="both"/>
        <w:rPr>
          <w:rStyle w:val="s1"/>
          <w:b/>
          <w:bCs/>
          <w:sz w:val="26"/>
          <w:szCs w:val="26"/>
        </w:rPr>
      </w:pPr>
      <w:r w:rsidRPr="00C52A37">
        <w:rPr>
          <w:rStyle w:val="s1"/>
          <w:b/>
          <w:bCs/>
          <w:sz w:val="26"/>
          <w:szCs w:val="26"/>
        </w:rPr>
        <w:t>Statistical Analysis</w:t>
      </w:r>
    </w:p>
    <w:p w14:paraId="3A16C41C" w14:textId="1DFF4BBF" w:rsidR="009345A5" w:rsidRDefault="009345A5" w:rsidP="0038602B">
      <w:pPr>
        <w:pStyle w:val="p2"/>
        <w:spacing w:before="0" w:beforeAutospacing="0" w:after="120" w:afterAutospacing="0" w:line="360" w:lineRule="auto"/>
        <w:jc w:val="both"/>
      </w:pPr>
      <w:r w:rsidRPr="009345A5">
        <w:t xml:space="preserve">R statistical software (version 4.5.1; R Foundation for Statistical Computing, Vienna, Austria) was used for statistical analyses. The categorical variables were presented as frequencies and percentages, and compared using Pearson's chi-squared test or Fisher's exact test as appropriate. Other continuous variables were descriptively </w:t>
      </w:r>
      <w:proofErr w:type="spellStart"/>
      <w:r w:rsidRPr="009345A5">
        <w:t>analysed</w:t>
      </w:r>
      <w:proofErr w:type="spellEnd"/>
      <w:r w:rsidRPr="009345A5">
        <w:t xml:space="preserve"> as mean ± standard deviation or median (interquartile range) depending on the distribution of the data. The Kaplan–Meier method was used to estimate overall survival and the log-rank test was used to compare survival curves. Univariable Cox proportional hazards regression analysis was first used to calculate unadjusted hazard ratios (HRs). A multivariable Cox proportional hazards regression model was then fitted to estimate the adjusted hazard ratios, adjusting for the following a priori selected variables: age group, residence, education level, metastatic burden, tumor grade and use of any systemic treatment. Hazard ratios (HRs) and 95% confidence intervals (CIs) are given. All statistical analyses took a two-sided approach and a p-value &lt;0.05 was regarded as statistically significant.</w:t>
      </w:r>
    </w:p>
    <w:p w14:paraId="086DBAB1" w14:textId="74389771" w:rsidR="007842D8" w:rsidRPr="00C52A37" w:rsidRDefault="007842D8" w:rsidP="0038602B">
      <w:pPr>
        <w:pStyle w:val="p2"/>
        <w:spacing w:before="0" w:beforeAutospacing="0" w:after="120" w:afterAutospacing="0" w:line="360" w:lineRule="auto"/>
        <w:jc w:val="both"/>
        <w:rPr>
          <w:rStyle w:val="s1"/>
          <w:b/>
          <w:bCs/>
          <w:sz w:val="26"/>
          <w:szCs w:val="26"/>
        </w:rPr>
      </w:pPr>
      <w:r w:rsidRPr="00C52A37">
        <w:rPr>
          <w:rStyle w:val="s1"/>
          <w:b/>
          <w:bCs/>
          <w:sz w:val="26"/>
          <w:szCs w:val="26"/>
        </w:rPr>
        <w:t>Ethical Considerations</w:t>
      </w:r>
    </w:p>
    <w:p w14:paraId="6B486C96" w14:textId="6810649C" w:rsidR="005907B2" w:rsidRPr="009345A5" w:rsidRDefault="009345A5" w:rsidP="009345A5">
      <w:pPr>
        <w:pStyle w:val="p2"/>
        <w:spacing w:before="0" w:beforeAutospacing="0" w:after="120" w:afterAutospacing="0" w:line="360" w:lineRule="auto"/>
        <w:jc w:val="both"/>
      </w:pPr>
      <w:r w:rsidRPr="009345A5">
        <w:t>The study was performed using the principles of Declaration of Helsinki and its amendments. The Institutional Review Board of the Rangpur Medical College Hospital, Rangpur, Bangladesh approved the ethical aspects of the study. To ensure patient confidentiality all identifiable data were anonymized prior to data analysis.</w:t>
      </w:r>
    </w:p>
    <w:p w14:paraId="7958414F" w14:textId="77777777" w:rsidR="009345A5" w:rsidRDefault="009345A5" w:rsidP="00BF4A69">
      <w:pPr>
        <w:pStyle w:val="TableCaption"/>
        <w:keepNext/>
        <w:pBdr>
          <w:top w:val="none" w:sz="0" w:space="0" w:color="000000"/>
          <w:left w:val="none" w:sz="0" w:space="0" w:color="000000"/>
          <w:bottom w:val="none" w:sz="0" w:space="0" w:color="000000"/>
          <w:right w:val="none" w:sz="0" w:space="0" w:color="000000"/>
        </w:pBdr>
        <w:spacing w:after="60"/>
        <w:ind w:right="60"/>
        <w:jc w:val="left"/>
        <w:rPr>
          <w:i w:val="0"/>
          <w:iCs/>
          <w:sz w:val="32"/>
          <w:szCs w:val="32"/>
        </w:rPr>
      </w:pPr>
    </w:p>
    <w:p w14:paraId="0D0FE44C" w14:textId="5B3715B3" w:rsidR="00F03E84" w:rsidRPr="00F03E84" w:rsidRDefault="00F03E84" w:rsidP="005907B2">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left"/>
        <w:rPr>
          <w:i w:val="0"/>
          <w:iCs/>
          <w:sz w:val="32"/>
          <w:szCs w:val="32"/>
        </w:rPr>
      </w:pPr>
      <w:r w:rsidRPr="00F03E84">
        <w:rPr>
          <w:i w:val="0"/>
          <w:iCs/>
          <w:sz w:val="32"/>
          <w:szCs w:val="32"/>
        </w:rPr>
        <w:t>Result</w:t>
      </w:r>
      <w:r w:rsidR="00220065">
        <w:rPr>
          <w:i w:val="0"/>
          <w:iCs/>
          <w:sz w:val="32"/>
          <w:szCs w:val="32"/>
        </w:rPr>
        <w:t>s</w:t>
      </w:r>
    </w:p>
    <w:p w14:paraId="54A50207" w14:textId="5056DD2D" w:rsidR="00F03E84" w:rsidRPr="005907B2" w:rsidRDefault="00DC7005" w:rsidP="005907B2">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b w:val="0"/>
          <w:bCs/>
          <w:i w:val="0"/>
          <w:iCs/>
        </w:rPr>
      </w:pPr>
      <w:r w:rsidRPr="00DC7005">
        <w:rPr>
          <w:b w:val="0"/>
          <w:bCs/>
          <w:i w:val="0"/>
          <w:iCs/>
        </w:rPr>
        <w:t>Among 135 patients with metastatic breast cancer, 63 had de novo MBC</w:t>
      </w:r>
      <w:r>
        <w:rPr>
          <w:b w:val="0"/>
          <w:bCs/>
          <w:i w:val="0"/>
          <w:iCs/>
        </w:rPr>
        <w:t>,</w:t>
      </w:r>
      <w:r w:rsidRPr="00DC7005">
        <w:rPr>
          <w:b w:val="0"/>
          <w:bCs/>
          <w:i w:val="0"/>
          <w:iCs/>
        </w:rPr>
        <w:t xml:space="preserve"> and 72 had recurrent MBC. Demographic characteristics were comparable between groups. ER positivity (38% vs. 19%, p = 0.022) and PR positivity (32% vs. 15%, p = 0.020) were higher in de novo MBC, whereas recurrent MBC had a higher proportion of Grade 3 tumors (44% vs. 29%, p = 0.012). HER2 status and clinical subtype distribution did not differ significantly.</w:t>
      </w:r>
      <w:r>
        <w:rPr>
          <w:b w:val="0"/>
          <w:bCs/>
          <w:i w:val="0"/>
          <w:iCs/>
        </w:rPr>
        <w:t xml:space="preserve"> </w:t>
      </w:r>
      <w:r w:rsidRPr="00DC7005">
        <w:rPr>
          <w:b w:val="0"/>
          <w:bCs/>
          <w:i w:val="0"/>
          <w:iCs/>
        </w:rPr>
        <w:t>(Table 1)</w:t>
      </w:r>
    </w:p>
    <w:p w14:paraId="2401C770" w14:textId="77777777" w:rsidR="00B113B5" w:rsidRDefault="00B113B5" w:rsidP="00B113B5">
      <w:pPr>
        <w:pStyle w:val="TableCaption"/>
        <w:keepNext/>
        <w:pBdr>
          <w:top w:val="none" w:sz="0" w:space="0" w:color="000000"/>
          <w:left w:val="none" w:sz="0" w:space="0" w:color="000000"/>
          <w:bottom w:val="none" w:sz="0" w:space="0" w:color="000000"/>
          <w:right w:val="none" w:sz="0" w:space="0" w:color="000000"/>
        </w:pBdr>
        <w:spacing w:after="60"/>
        <w:ind w:right="60"/>
        <w:jc w:val="left"/>
        <w:rPr>
          <w:i w:val="0"/>
          <w:iCs/>
        </w:rPr>
      </w:pPr>
      <w:r w:rsidRPr="00D3070F">
        <w:rPr>
          <w:i w:val="0"/>
          <w:iCs/>
        </w:rPr>
        <w:t>Table 1</w:t>
      </w:r>
      <w:r>
        <w:rPr>
          <w:i w:val="0"/>
          <w:iCs/>
        </w:rPr>
        <w:t xml:space="preserve">: </w:t>
      </w:r>
      <w:r w:rsidRPr="00D3070F">
        <w:rPr>
          <w:i w:val="0"/>
          <w:iCs/>
        </w:rPr>
        <w:t>Baseline demographic, clinicopathological, and molecular characteristics of patients with de novo and recurrent metastatic breast cancer (MBC)</w:t>
      </w:r>
    </w:p>
    <w:p w14:paraId="734CD6F8" w14:textId="77777777" w:rsidR="00B113B5" w:rsidRDefault="00B113B5" w:rsidP="00B113B5">
      <w:pPr>
        <w:pStyle w:val="TableCaption"/>
        <w:keepNext/>
        <w:pBdr>
          <w:top w:val="none" w:sz="0" w:space="0" w:color="000000"/>
          <w:left w:val="none" w:sz="0" w:space="0" w:color="000000"/>
          <w:bottom w:val="none" w:sz="0" w:space="0" w:color="000000"/>
          <w:right w:val="none" w:sz="0" w:space="0" w:color="000000"/>
        </w:pBdr>
        <w:spacing w:before="60" w:after="60"/>
        <w:ind w:left="60" w:right="60"/>
      </w:pPr>
    </w:p>
    <w:tbl>
      <w:tblPr>
        <w:tblStyle w:val="TableGrid"/>
        <w:tblW w:w="9448" w:type="dxa"/>
        <w:tblLayout w:type="fixed"/>
        <w:tblLook w:val="0420" w:firstRow="1" w:lastRow="0" w:firstColumn="0" w:lastColumn="0" w:noHBand="0" w:noVBand="1"/>
      </w:tblPr>
      <w:tblGrid>
        <w:gridCol w:w="2683"/>
        <w:gridCol w:w="1426"/>
        <w:gridCol w:w="1963"/>
        <w:gridCol w:w="2134"/>
        <w:gridCol w:w="1242"/>
      </w:tblGrid>
      <w:tr w:rsidR="00B113B5" w:rsidRPr="002A17B0" w14:paraId="753CBABC" w14:textId="77777777" w:rsidTr="00B500CD">
        <w:tc>
          <w:tcPr>
            <w:tcW w:w="4109" w:type="dxa"/>
            <w:gridSpan w:val="2"/>
          </w:tcPr>
          <w:p w14:paraId="65DFECA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rPr>
                <w:rFonts w:eastAsia="Arial"/>
                <w:color w:val="000000"/>
                <w:sz w:val="22"/>
                <w:szCs w:val="22"/>
              </w:rPr>
            </w:pPr>
            <w:r w:rsidRPr="002A17B0">
              <w:rPr>
                <w:rFonts w:eastAsia="Arial"/>
                <w:color w:val="000000"/>
                <w:sz w:val="22"/>
                <w:szCs w:val="22"/>
              </w:rPr>
              <w:t xml:space="preserve"> </w:t>
            </w:r>
          </w:p>
        </w:tc>
        <w:tc>
          <w:tcPr>
            <w:tcW w:w="4097" w:type="dxa"/>
            <w:gridSpan w:val="2"/>
          </w:tcPr>
          <w:p w14:paraId="5A8635D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MBC Type</w:t>
            </w:r>
          </w:p>
        </w:tc>
        <w:tc>
          <w:tcPr>
            <w:tcW w:w="1242" w:type="dxa"/>
          </w:tcPr>
          <w:p w14:paraId="69CCEA1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color w:val="000000"/>
                <w:sz w:val="22"/>
                <w:szCs w:val="22"/>
              </w:rPr>
              <w:t xml:space="preserve"> </w:t>
            </w:r>
          </w:p>
        </w:tc>
      </w:tr>
      <w:tr w:rsidR="00B113B5" w:rsidRPr="002A17B0" w14:paraId="36CFFB07" w14:textId="77777777" w:rsidTr="00B500CD">
        <w:tc>
          <w:tcPr>
            <w:tcW w:w="2683" w:type="dxa"/>
          </w:tcPr>
          <w:p w14:paraId="35D4A45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rPr>
                <w:rFonts w:eastAsia="Arial"/>
                <w:color w:val="000000"/>
                <w:sz w:val="22"/>
                <w:szCs w:val="22"/>
              </w:rPr>
            </w:pPr>
            <w:r w:rsidRPr="002A17B0">
              <w:rPr>
                <w:rFonts w:eastAsia="Arial"/>
                <w:b/>
                <w:color w:val="000000"/>
                <w:sz w:val="22"/>
                <w:szCs w:val="22"/>
              </w:rPr>
              <w:t>Characteristic</w:t>
            </w:r>
          </w:p>
        </w:tc>
        <w:tc>
          <w:tcPr>
            <w:tcW w:w="1426" w:type="dxa"/>
          </w:tcPr>
          <w:p w14:paraId="39B1D34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Overall</w:t>
            </w:r>
            <w:r w:rsidRPr="002A17B0">
              <w:rPr>
                <w:rFonts w:eastAsia="Arial"/>
                <w:color w:val="000000"/>
                <w:sz w:val="22"/>
                <w:szCs w:val="22"/>
              </w:rPr>
              <w:t xml:space="preserve">  </w:t>
            </w:r>
            <w:r w:rsidRPr="002A17B0">
              <w:rPr>
                <w:rFonts w:eastAsia="Arial"/>
                <w:color w:val="000000"/>
                <w:sz w:val="22"/>
                <w:szCs w:val="22"/>
              </w:rPr>
              <w:br/>
              <w:t>N = 135</w:t>
            </w:r>
          </w:p>
        </w:tc>
        <w:tc>
          <w:tcPr>
            <w:tcW w:w="1963" w:type="dxa"/>
          </w:tcPr>
          <w:p w14:paraId="7604438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De novo MBC</w:t>
            </w:r>
            <w:r w:rsidRPr="002A17B0">
              <w:rPr>
                <w:rFonts w:eastAsia="Arial"/>
                <w:color w:val="000000"/>
                <w:sz w:val="22"/>
                <w:szCs w:val="22"/>
              </w:rPr>
              <w:t xml:space="preserve">  </w:t>
            </w:r>
            <w:r w:rsidRPr="002A17B0">
              <w:rPr>
                <w:rFonts w:eastAsia="Arial"/>
                <w:color w:val="000000"/>
                <w:sz w:val="22"/>
                <w:szCs w:val="22"/>
              </w:rPr>
              <w:br/>
              <w:t>N = 63</w:t>
            </w:r>
          </w:p>
        </w:tc>
        <w:tc>
          <w:tcPr>
            <w:tcW w:w="2134" w:type="dxa"/>
          </w:tcPr>
          <w:p w14:paraId="1C9F9D5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Recurrent MBC</w:t>
            </w:r>
            <w:r w:rsidRPr="002A17B0">
              <w:rPr>
                <w:rFonts w:eastAsia="Arial"/>
                <w:color w:val="000000"/>
                <w:sz w:val="22"/>
                <w:szCs w:val="22"/>
              </w:rPr>
              <w:t xml:space="preserve">  </w:t>
            </w:r>
            <w:r w:rsidRPr="002A17B0">
              <w:rPr>
                <w:rFonts w:eastAsia="Arial"/>
                <w:color w:val="000000"/>
                <w:sz w:val="22"/>
                <w:szCs w:val="22"/>
              </w:rPr>
              <w:br/>
              <w:t>N = 72</w:t>
            </w:r>
          </w:p>
        </w:tc>
        <w:tc>
          <w:tcPr>
            <w:tcW w:w="1242" w:type="dxa"/>
          </w:tcPr>
          <w:p w14:paraId="3263B97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p-value</w:t>
            </w:r>
          </w:p>
        </w:tc>
      </w:tr>
      <w:tr w:rsidR="00B113B5" w:rsidRPr="002A17B0" w14:paraId="6B766D0B" w14:textId="77777777" w:rsidTr="00B500CD">
        <w:tc>
          <w:tcPr>
            <w:tcW w:w="2683" w:type="dxa"/>
          </w:tcPr>
          <w:p w14:paraId="63DE16B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Age group</w:t>
            </w:r>
          </w:p>
        </w:tc>
        <w:tc>
          <w:tcPr>
            <w:tcW w:w="1426" w:type="dxa"/>
          </w:tcPr>
          <w:p w14:paraId="5A1ADFF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963" w:type="dxa"/>
          </w:tcPr>
          <w:p w14:paraId="540E22D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2134" w:type="dxa"/>
          </w:tcPr>
          <w:p w14:paraId="3D5BDA2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242" w:type="dxa"/>
          </w:tcPr>
          <w:p w14:paraId="07CD565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0.144</w:t>
            </w:r>
          </w:p>
        </w:tc>
      </w:tr>
      <w:tr w:rsidR="00B113B5" w:rsidRPr="002A17B0" w14:paraId="012D1F99" w14:textId="77777777" w:rsidTr="00B500CD">
        <w:tc>
          <w:tcPr>
            <w:tcW w:w="2683" w:type="dxa"/>
          </w:tcPr>
          <w:p w14:paraId="3942419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&lt;35</w:t>
            </w:r>
          </w:p>
        </w:tc>
        <w:tc>
          <w:tcPr>
            <w:tcW w:w="1426" w:type="dxa"/>
          </w:tcPr>
          <w:p w14:paraId="3DDB552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23 (17%)</w:t>
            </w:r>
          </w:p>
        </w:tc>
        <w:tc>
          <w:tcPr>
            <w:tcW w:w="1963" w:type="dxa"/>
          </w:tcPr>
          <w:p w14:paraId="225DEF4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9 (14%)</w:t>
            </w:r>
          </w:p>
        </w:tc>
        <w:tc>
          <w:tcPr>
            <w:tcW w:w="2134" w:type="dxa"/>
          </w:tcPr>
          <w:p w14:paraId="08B1BFF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14 (20%)</w:t>
            </w:r>
          </w:p>
        </w:tc>
        <w:tc>
          <w:tcPr>
            <w:tcW w:w="1242" w:type="dxa"/>
          </w:tcPr>
          <w:p w14:paraId="261EA85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0BC300E8" w14:textId="77777777" w:rsidTr="00B500CD">
        <w:tc>
          <w:tcPr>
            <w:tcW w:w="2683" w:type="dxa"/>
          </w:tcPr>
          <w:p w14:paraId="3B21EC1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35-45</w:t>
            </w:r>
          </w:p>
        </w:tc>
        <w:tc>
          <w:tcPr>
            <w:tcW w:w="1426" w:type="dxa"/>
          </w:tcPr>
          <w:p w14:paraId="1F6A774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45 (34%)</w:t>
            </w:r>
          </w:p>
        </w:tc>
        <w:tc>
          <w:tcPr>
            <w:tcW w:w="1963" w:type="dxa"/>
          </w:tcPr>
          <w:p w14:paraId="526EFD6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26 (41%)</w:t>
            </w:r>
          </w:p>
        </w:tc>
        <w:tc>
          <w:tcPr>
            <w:tcW w:w="2134" w:type="dxa"/>
          </w:tcPr>
          <w:p w14:paraId="06FCB9C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19 (27%)</w:t>
            </w:r>
          </w:p>
        </w:tc>
        <w:tc>
          <w:tcPr>
            <w:tcW w:w="1242" w:type="dxa"/>
          </w:tcPr>
          <w:p w14:paraId="2870D5B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3C73E834" w14:textId="77777777" w:rsidTr="00B500CD">
        <w:tc>
          <w:tcPr>
            <w:tcW w:w="2683" w:type="dxa"/>
          </w:tcPr>
          <w:p w14:paraId="530685B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45-55</w:t>
            </w:r>
          </w:p>
        </w:tc>
        <w:tc>
          <w:tcPr>
            <w:tcW w:w="1426" w:type="dxa"/>
          </w:tcPr>
          <w:p w14:paraId="3C43C71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33 (25%)</w:t>
            </w:r>
          </w:p>
        </w:tc>
        <w:tc>
          <w:tcPr>
            <w:tcW w:w="1963" w:type="dxa"/>
          </w:tcPr>
          <w:p w14:paraId="0F39BDD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11 (17%)</w:t>
            </w:r>
          </w:p>
        </w:tc>
        <w:tc>
          <w:tcPr>
            <w:tcW w:w="2134" w:type="dxa"/>
          </w:tcPr>
          <w:p w14:paraId="3535681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22 (31%)</w:t>
            </w:r>
          </w:p>
        </w:tc>
        <w:tc>
          <w:tcPr>
            <w:tcW w:w="1242" w:type="dxa"/>
          </w:tcPr>
          <w:p w14:paraId="5CE79CB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1CB0FD67" w14:textId="77777777" w:rsidTr="00B500CD">
        <w:tc>
          <w:tcPr>
            <w:tcW w:w="2683" w:type="dxa"/>
          </w:tcPr>
          <w:p w14:paraId="459FF6E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55+</w:t>
            </w:r>
          </w:p>
        </w:tc>
        <w:tc>
          <w:tcPr>
            <w:tcW w:w="1426" w:type="dxa"/>
          </w:tcPr>
          <w:p w14:paraId="24D0820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33 (25%)</w:t>
            </w:r>
          </w:p>
        </w:tc>
        <w:tc>
          <w:tcPr>
            <w:tcW w:w="1963" w:type="dxa"/>
          </w:tcPr>
          <w:p w14:paraId="6E18BBD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17 (27%)</w:t>
            </w:r>
          </w:p>
        </w:tc>
        <w:tc>
          <w:tcPr>
            <w:tcW w:w="2134" w:type="dxa"/>
          </w:tcPr>
          <w:p w14:paraId="45EA8ED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16 (23%)</w:t>
            </w:r>
          </w:p>
        </w:tc>
        <w:tc>
          <w:tcPr>
            <w:tcW w:w="1242" w:type="dxa"/>
          </w:tcPr>
          <w:p w14:paraId="52763A8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61196E86" w14:textId="77777777" w:rsidTr="00B500CD">
        <w:tc>
          <w:tcPr>
            <w:tcW w:w="2683" w:type="dxa"/>
          </w:tcPr>
          <w:p w14:paraId="4CF62B8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Residence</w:t>
            </w:r>
          </w:p>
        </w:tc>
        <w:tc>
          <w:tcPr>
            <w:tcW w:w="1426" w:type="dxa"/>
          </w:tcPr>
          <w:p w14:paraId="1AF02B4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963" w:type="dxa"/>
          </w:tcPr>
          <w:p w14:paraId="0AB9828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2134" w:type="dxa"/>
          </w:tcPr>
          <w:p w14:paraId="09D194A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242" w:type="dxa"/>
          </w:tcPr>
          <w:p w14:paraId="48402D5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0.071</w:t>
            </w:r>
          </w:p>
        </w:tc>
      </w:tr>
      <w:tr w:rsidR="00B113B5" w:rsidRPr="002A17B0" w14:paraId="07EF101A" w14:textId="77777777" w:rsidTr="00B500CD">
        <w:tc>
          <w:tcPr>
            <w:tcW w:w="2683" w:type="dxa"/>
          </w:tcPr>
          <w:p w14:paraId="27B202C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Urban</w:t>
            </w:r>
          </w:p>
        </w:tc>
        <w:tc>
          <w:tcPr>
            <w:tcW w:w="1426" w:type="dxa"/>
          </w:tcPr>
          <w:p w14:paraId="7321DFB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19 (14%)</w:t>
            </w:r>
          </w:p>
        </w:tc>
        <w:tc>
          <w:tcPr>
            <w:tcW w:w="1963" w:type="dxa"/>
          </w:tcPr>
          <w:p w14:paraId="7591462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13 (21%)</w:t>
            </w:r>
          </w:p>
        </w:tc>
        <w:tc>
          <w:tcPr>
            <w:tcW w:w="2134" w:type="dxa"/>
          </w:tcPr>
          <w:p w14:paraId="613C2C3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6 (8.3%)</w:t>
            </w:r>
          </w:p>
        </w:tc>
        <w:tc>
          <w:tcPr>
            <w:tcW w:w="1242" w:type="dxa"/>
          </w:tcPr>
          <w:p w14:paraId="5C78234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256E5079" w14:textId="77777777" w:rsidTr="00B500CD">
        <w:tc>
          <w:tcPr>
            <w:tcW w:w="2683" w:type="dxa"/>
          </w:tcPr>
          <w:p w14:paraId="794961B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Rural</w:t>
            </w:r>
          </w:p>
        </w:tc>
        <w:tc>
          <w:tcPr>
            <w:tcW w:w="1426" w:type="dxa"/>
          </w:tcPr>
          <w:p w14:paraId="0F3703D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116 (86%)</w:t>
            </w:r>
          </w:p>
        </w:tc>
        <w:tc>
          <w:tcPr>
            <w:tcW w:w="1963" w:type="dxa"/>
          </w:tcPr>
          <w:p w14:paraId="4C9A74A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50 (79%)</w:t>
            </w:r>
          </w:p>
        </w:tc>
        <w:tc>
          <w:tcPr>
            <w:tcW w:w="2134" w:type="dxa"/>
          </w:tcPr>
          <w:p w14:paraId="5C7A94B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66 (92%)</w:t>
            </w:r>
          </w:p>
        </w:tc>
        <w:tc>
          <w:tcPr>
            <w:tcW w:w="1242" w:type="dxa"/>
          </w:tcPr>
          <w:p w14:paraId="65A927F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0C534301" w14:textId="77777777" w:rsidTr="00B500CD">
        <w:tc>
          <w:tcPr>
            <w:tcW w:w="2683" w:type="dxa"/>
          </w:tcPr>
          <w:p w14:paraId="1411F87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Education level</w:t>
            </w:r>
          </w:p>
        </w:tc>
        <w:tc>
          <w:tcPr>
            <w:tcW w:w="1426" w:type="dxa"/>
          </w:tcPr>
          <w:p w14:paraId="1075C42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963" w:type="dxa"/>
          </w:tcPr>
          <w:p w14:paraId="10F2B44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2134" w:type="dxa"/>
          </w:tcPr>
          <w:p w14:paraId="49FA024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242" w:type="dxa"/>
          </w:tcPr>
          <w:p w14:paraId="1735F70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0.099</w:t>
            </w:r>
          </w:p>
        </w:tc>
      </w:tr>
      <w:tr w:rsidR="00B113B5" w:rsidRPr="002A17B0" w14:paraId="6F0BE1DE" w14:textId="77777777" w:rsidTr="00B500CD">
        <w:tc>
          <w:tcPr>
            <w:tcW w:w="2683" w:type="dxa"/>
          </w:tcPr>
          <w:p w14:paraId="713E475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Illiterate</w:t>
            </w:r>
          </w:p>
        </w:tc>
        <w:tc>
          <w:tcPr>
            <w:tcW w:w="1426" w:type="dxa"/>
          </w:tcPr>
          <w:p w14:paraId="7D42D2F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36 (27%)</w:t>
            </w:r>
          </w:p>
        </w:tc>
        <w:tc>
          <w:tcPr>
            <w:tcW w:w="1963" w:type="dxa"/>
          </w:tcPr>
          <w:p w14:paraId="07A4B7E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18 (29%)</w:t>
            </w:r>
          </w:p>
        </w:tc>
        <w:tc>
          <w:tcPr>
            <w:tcW w:w="2134" w:type="dxa"/>
          </w:tcPr>
          <w:p w14:paraId="552F24B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18 (25%)</w:t>
            </w:r>
          </w:p>
        </w:tc>
        <w:tc>
          <w:tcPr>
            <w:tcW w:w="1242" w:type="dxa"/>
          </w:tcPr>
          <w:p w14:paraId="0C9FF1C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238E7847" w14:textId="77777777" w:rsidTr="00B500CD">
        <w:tc>
          <w:tcPr>
            <w:tcW w:w="2683" w:type="dxa"/>
          </w:tcPr>
          <w:p w14:paraId="35E4FBC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5 or less</w:t>
            </w:r>
          </w:p>
        </w:tc>
        <w:tc>
          <w:tcPr>
            <w:tcW w:w="1426" w:type="dxa"/>
          </w:tcPr>
          <w:p w14:paraId="2C9C045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44 (33%)</w:t>
            </w:r>
          </w:p>
        </w:tc>
        <w:tc>
          <w:tcPr>
            <w:tcW w:w="1963" w:type="dxa"/>
          </w:tcPr>
          <w:p w14:paraId="785F71E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19 (30%)</w:t>
            </w:r>
          </w:p>
        </w:tc>
        <w:tc>
          <w:tcPr>
            <w:tcW w:w="2134" w:type="dxa"/>
          </w:tcPr>
          <w:p w14:paraId="00A1347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25 (35%)</w:t>
            </w:r>
          </w:p>
        </w:tc>
        <w:tc>
          <w:tcPr>
            <w:tcW w:w="1242" w:type="dxa"/>
          </w:tcPr>
          <w:p w14:paraId="436562D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4C4054C5" w14:textId="77777777" w:rsidTr="00B500CD">
        <w:tc>
          <w:tcPr>
            <w:tcW w:w="2683" w:type="dxa"/>
          </w:tcPr>
          <w:p w14:paraId="2BA8FF6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&gt;5-10 years</w:t>
            </w:r>
          </w:p>
        </w:tc>
        <w:tc>
          <w:tcPr>
            <w:tcW w:w="1426" w:type="dxa"/>
          </w:tcPr>
          <w:p w14:paraId="0D59FFF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41 (30%)</w:t>
            </w:r>
          </w:p>
        </w:tc>
        <w:tc>
          <w:tcPr>
            <w:tcW w:w="1963" w:type="dxa"/>
          </w:tcPr>
          <w:p w14:paraId="50BC498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15 (24%)</w:t>
            </w:r>
          </w:p>
        </w:tc>
        <w:tc>
          <w:tcPr>
            <w:tcW w:w="2134" w:type="dxa"/>
          </w:tcPr>
          <w:p w14:paraId="625E2B8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26 (36%)</w:t>
            </w:r>
          </w:p>
        </w:tc>
        <w:tc>
          <w:tcPr>
            <w:tcW w:w="1242" w:type="dxa"/>
          </w:tcPr>
          <w:p w14:paraId="51B9495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23C52269" w14:textId="77777777" w:rsidTr="00B500CD">
        <w:tc>
          <w:tcPr>
            <w:tcW w:w="2683" w:type="dxa"/>
          </w:tcPr>
          <w:p w14:paraId="5B00D73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&gt;10-12 years</w:t>
            </w:r>
          </w:p>
        </w:tc>
        <w:tc>
          <w:tcPr>
            <w:tcW w:w="1426" w:type="dxa"/>
          </w:tcPr>
          <w:p w14:paraId="4A4C538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10 (7.4%)</w:t>
            </w:r>
          </w:p>
        </w:tc>
        <w:tc>
          <w:tcPr>
            <w:tcW w:w="1963" w:type="dxa"/>
          </w:tcPr>
          <w:p w14:paraId="6D2D755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 (13%)</w:t>
            </w:r>
          </w:p>
        </w:tc>
        <w:tc>
          <w:tcPr>
            <w:tcW w:w="2134" w:type="dxa"/>
          </w:tcPr>
          <w:p w14:paraId="03FBDB9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 (2.8%)</w:t>
            </w:r>
          </w:p>
        </w:tc>
        <w:tc>
          <w:tcPr>
            <w:tcW w:w="1242" w:type="dxa"/>
          </w:tcPr>
          <w:p w14:paraId="7023AD8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61920F97" w14:textId="77777777" w:rsidTr="00B500CD">
        <w:tc>
          <w:tcPr>
            <w:tcW w:w="2683" w:type="dxa"/>
          </w:tcPr>
          <w:p w14:paraId="5CC5CE1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Graduate and above</w:t>
            </w:r>
          </w:p>
        </w:tc>
        <w:tc>
          <w:tcPr>
            <w:tcW w:w="1426" w:type="dxa"/>
          </w:tcPr>
          <w:p w14:paraId="2B8122A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4 (3.0%)</w:t>
            </w:r>
          </w:p>
        </w:tc>
        <w:tc>
          <w:tcPr>
            <w:tcW w:w="1963" w:type="dxa"/>
          </w:tcPr>
          <w:p w14:paraId="141C0F2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 (4.8%)</w:t>
            </w:r>
          </w:p>
        </w:tc>
        <w:tc>
          <w:tcPr>
            <w:tcW w:w="2134" w:type="dxa"/>
          </w:tcPr>
          <w:p w14:paraId="137E2FE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 (1.4%)</w:t>
            </w:r>
          </w:p>
        </w:tc>
        <w:tc>
          <w:tcPr>
            <w:tcW w:w="1242" w:type="dxa"/>
          </w:tcPr>
          <w:p w14:paraId="6AFF5CA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07E9E35F" w14:textId="77777777" w:rsidTr="00B500CD">
        <w:tc>
          <w:tcPr>
            <w:tcW w:w="2683" w:type="dxa"/>
          </w:tcPr>
          <w:p w14:paraId="3B6CF20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Monthly income</w:t>
            </w:r>
          </w:p>
        </w:tc>
        <w:tc>
          <w:tcPr>
            <w:tcW w:w="1426" w:type="dxa"/>
          </w:tcPr>
          <w:p w14:paraId="5D8E4FD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963" w:type="dxa"/>
          </w:tcPr>
          <w:p w14:paraId="3799954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2134" w:type="dxa"/>
          </w:tcPr>
          <w:p w14:paraId="1A011BD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242" w:type="dxa"/>
          </w:tcPr>
          <w:p w14:paraId="3795C66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0.339</w:t>
            </w:r>
          </w:p>
        </w:tc>
      </w:tr>
      <w:tr w:rsidR="00B113B5" w:rsidRPr="002A17B0" w14:paraId="18F9307B" w14:textId="77777777" w:rsidTr="00B500CD">
        <w:tc>
          <w:tcPr>
            <w:tcW w:w="2683" w:type="dxa"/>
          </w:tcPr>
          <w:p w14:paraId="32C4679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&lt;5000</w:t>
            </w:r>
          </w:p>
        </w:tc>
        <w:tc>
          <w:tcPr>
            <w:tcW w:w="1426" w:type="dxa"/>
          </w:tcPr>
          <w:p w14:paraId="33C6C88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 (3.7%)</w:t>
            </w:r>
          </w:p>
        </w:tc>
        <w:tc>
          <w:tcPr>
            <w:tcW w:w="1963" w:type="dxa"/>
          </w:tcPr>
          <w:p w14:paraId="6C0881A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 (3.2%)</w:t>
            </w:r>
          </w:p>
        </w:tc>
        <w:tc>
          <w:tcPr>
            <w:tcW w:w="2134" w:type="dxa"/>
          </w:tcPr>
          <w:p w14:paraId="1D62682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 (4.2%)</w:t>
            </w:r>
          </w:p>
        </w:tc>
        <w:tc>
          <w:tcPr>
            <w:tcW w:w="1242" w:type="dxa"/>
          </w:tcPr>
          <w:p w14:paraId="6342E93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622FA158" w14:textId="77777777" w:rsidTr="00B500CD">
        <w:tc>
          <w:tcPr>
            <w:tcW w:w="2683" w:type="dxa"/>
          </w:tcPr>
          <w:p w14:paraId="2AC5A83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5001-10000</w:t>
            </w:r>
          </w:p>
        </w:tc>
        <w:tc>
          <w:tcPr>
            <w:tcW w:w="1426" w:type="dxa"/>
          </w:tcPr>
          <w:p w14:paraId="7BD21A8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91 (67%)</w:t>
            </w:r>
          </w:p>
        </w:tc>
        <w:tc>
          <w:tcPr>
            <w:tcW w:w="1963" w:type="dxa"/>
          </w:tcPr>
          <w:p w14:paraId="46512FE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40 (63%)</w:t>
            </w:r>
          </w:p>
        </w:tc>
        <w:tc>
          <w:tcPr>
            <w:tcW w:w="2134" w:type="dxa"/>
          </w:tcPr>
          <w:p w14:paraId="33A83A1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51 (71%)</w:t>
            </w:r>
          </w:p>
        </w:tc>
        <w:tc>
          <w:tcPr>
            <w:tcW w:w="1242" w:type="dxa"/>
          </w:tcPr>
          <w:p w14:paraId="57C9578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3413375A" w14:textId="77777777" w:rsidTr="00B500CD">
        <w:tc>
          <w:tcPr>
            <w:tcW w:w="2683" w:type="dxa"/>
          </w:tcPr>
          <w:p w14:paraId="584D9BD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10001-15000</w:t>
            </w:r>
          </w:p>
        </w:tc>
        <w:tc>
          <w:tcPr>
            <w:tcW w:w="1426" w:type="dxa"/>
          </w:tcPr>
          <w:p w14:paraId="3461408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28 (21%)</w:t>
            </w:r>
          </w:p>
        </w:tc>
        <w:tc>
          <w:tcPr>
            <w:tcW w:w="1963" w:type="dxa"/>
          </w:tcPr>
          <w:p w14:paraId="11F573A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13 (21%)</w:t>
            </w:r>
          </w:p>
        </w:tc>
        <w:tc>
          <w:tcPr>
            <w:tcW w:w="2134" w:type="dxa"/>
          </w:tcPr>
          <w:p w14:paraId="10639EA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15 (21%)</w:t>
            </w:r>
          </w:p>
        </w:tc>
        <w:tc>
          <w:tcPr>
            <w:tcW w:w="1242" w:type="dxa"/>
          </w:tcPr>
          <w:p w14:paraId="58C90D6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50663E6C" w14:textId="77777777" w:rsidTr="00B500CD">
        <w:tc>
          <w:tcPr>
            <w:tcW w:w="2683" w:type="dxa"/>
          </w:tcPr>
          <w:p w14:paraId="603F4DD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&gt;15000</w:t>
            </w:r>
          </w:p>
        </w:tc>
        <w:tc>
          <w:tcPr>
            <w:tcW w:w="1426" w:type="dxa"/>
          </w:tcPr>
          <w:p w14:paraId="779AECC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11 (8.1%)</w:t>
            </w:r>
          </w:p>
        </w:tc>
        <w:tc>
          <w:tcPr>
            <w:tcW w:w="1963" w:type="dxa"/>
          </w:tcPr>
          <w:p w14:paraId="0D7A71C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 (13%)</w:t>
            </w:r>
          </w:p>
        </w:tc>
        <w:tc>
          <w:tcPr>
            <w:tcW w:w="2134" w:type="dxa"/>
          </w:tcPr>
          <w:p w14:paraId="2D6C815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 (4.2%)</w:t>
            </w:r>
          </w:p>
        </w:tc>
        <w:tc>
          <w:tcPr>
            <w:tcW w:w="1242" w:type="dxa"/>
          </w:tcPr>
          <w:p w14:paraId="36AAC57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2ABBB6CF" w14:textId="77777777" w:rsidTr="00B500CD">
        <w:tc>
          <w:tcPr>
            <w:tcW w:w="2683" w:type="dxa"/>
          </w:tcPr>
          <w:p w14:paraId="7D75870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lastRenderedPageBreak/>
              <w:t>ER status</w:t>
            </w:r>
          </w:p>
        </w:tc>
        <w:tc>
          <w:tcPr>
            <w:tcW w:w="1426" w:type="dxa"/>
          </w:tcPr>
          <w:p w14:paraId="20CB0B6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963" w:type="dxa"/>
          </w:tcPr>
          <w:p w14:paraId="2881A79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2134" w:type="dxa"/>
          </w:tcPr>
          <w:p w14:paraId="1106392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242" w:type="dxa"/>
          </w:tcPr>
          <w:p w14:paraId="36CB279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0.022</w:t>
            </w:r>
          </w:p>
        </w:tc>
      </w:tr>
      <w:tr w:rsidR="00B113B5" w:rsidRPr="002A17B0" w14:paraId="629BC99F" w14:textId="77777777" w:rsidTr="00B500CD">
        <w:tc>
          <w:tcPr>
            <w:tcW w:w="2683" w:type="dxa"/>
          </w:tcPr>
          <w:p w14:paraId="7E60F7F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Positive</w:t>
            </w:r>
          </w:p>
        </w:tc>
        <w:tc>
          <w:tcPr>
            <w:tcW w:w="1426" w:type="dxa"/>
          </w:tcPr>
          <w:p w14:paraId="6914C31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38 (28%)</w:t>
            </w:r>
          </w:p>
        </w:tc>
        <w:tc>
          <w:tcPr>
            <w:tcW w:w="1963" w:type="dxa"/>
          </w:tcPr>
          <w:p w14:paraId="5C8D7B2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24 (38%)</w:t>
            </w:r>
          </w:p>
        </w:tc>
        <w:tc>
          <w:tcPr>
            <w:tcW w:w="2134" w:type="dxa"/>
          </w:tcPr>
          <w:p w14:paraId="3ABAAF0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14 (19%)</w:t>
            </w:r>
          </w:p>
        </w:tc>
        <w:tc>
          <w:tcPr>
            <w:tcW w:w="1242" w:type="dxa"/>
          </w:tcPr>
          <w:p w14:paraId="26D8B4C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288FEA39" w14:textId="77777777" w:rsidTr="00B500CD">
        <w:tc>
          <w:tcPr>
            <w:tcW w:w="2683" w:type="dxa"/>
          </w:tcPr>
          <w:p w14:paraId="0D92D3B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Negative</w:t>
            </w:r>
          </w:p>
        </w:tc>
        <w:tc>
          <w:tcPr>
            <w:tcW w:w="1426" w:type="dxa"/>
          </w:tcPr>
          <w:p w14:paraId="54D1167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14 (10%)</w:t>
            </w:r>
          </w:p>
        </w:tc>
        <w:tc>
          <w:tcPr>
            <w:tcW w:w="1963" w:type="dxa"/>
          </w:tcPr>
          <w:p w14:paraId="74574D7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 (13%)</w:t>
            </w:r>
          </w:p>
        </w:tc>
        <w:tc>
          <w:tcPr>
            <w:tcW w:w="2134" w:type="dxa"/>
          </w:tcPr>
          <w:p w14:paraId="5443823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6 (8.3%)</w:t>
            </w:r>
          </w:p>
        </w:tc>
        <w:tc>
          <w:tcPr>
            <w:tcW w:w="1242" w:type="dxa"/>
          </w:tcPr>
          <w:p w14:paraId="3CE7ED8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0F6757D8" w14:textId="77777777" w:rsidTr="00B500CD">
        <w:tc>
          <w:tcPr>
            <w:tcW w:w="2683" w:type="dxa"/>
          </w:tcPr>
          <w:p w14:paraId="34195D8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Unknown</w:t>
            </w:r>
          </w:p>
        </w:tc>
        <w:tc>
          <w:tcPr>
            <w:tcW w:w="1426" w:type="dxa"/>
          </w:tcPr>
          <w:p w14:paraId="4C26EA0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83 (61%)</w:t>
            </w:r>
          </w:p>
        </w:tc>
        <w:tc>
          <w:tcPr>
            <w:tcW w:w="1963" w:type="dxa"/>
          </w:tcPr>
          <w:p w14:paraId="0BEDC9E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31 (49%)</w:t>
            </w:r>
          </w:p>
        </w:tc>
        <w:tc>
          <w:tcPr>
            <w:tcW w:w="2134" w:type="dxa"/>
          </w:tcPr>
          <w:p w14:paraId="3C68040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52 (72%)</w:t>
            </w:r>
          </w:p>
        </w:tc>
        <w:tc>
          <w:tcPr>
            <w:tcW w:w="1242" w:type="dxa"/>
          </w:tcPr>
          <w:p w14:paraId="7D6E66B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4F1C9567" w14:textId="77777777" w:rsidTr="00B500CD">
        <w:tc>
          <w:tcPr>
            <w:tcW w:w="2683" w:type="dxa"/>
          </w:tcPr>
          <w:p w14:paraId="0AA1B96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PR status</w:t>
            </w:r>
          </w:p>
        </w:tc>
        <w:tc>
          <w:tcPr>
            <w:tcW w:w="1426" w:type="dxa"/>
          </w:tcPr>
          <w:p w14:paraId="7951BC1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963" w:type="dxa"/>
          </w:tcPr>
          <w:p w14:paraId="4FAAAAB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2134" w:type="dxa"/>
          </w:tcPr>
          <w:p w14:paraId="6164AE0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242" w:type="dxa"/>
          </w:tcPr>
          <w:p w14:paraId="6E76656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0.020</w:t>
            </w:r>
          </w:p>
        </w:tc>
      </w:tr>
      <w:tr w:rsidR="00B113B5" w:rsidRPr="002A17B0" w14:paraId="32930BB3" w14:textId="77777777" w:rsidTr="00B500CD">
        <w:tc>
          <w:tcPr>
            <w:tcW w:w="2683" w:type="dxa"/>
          </w:tcPr>
          <w:p w14:paraId="169C75C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Positive</w:t>
            </w:r>
          </w:p>
        </w:tc>
        <w:tc>
          <w:tcPr>
            <w:tcW w:w="1426" w:type="dxa"/>
          </w:tcPr>
          <w:p w14:paraId="0B5FE3B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31 (23%)</w:t>
            </w:r>
          </w:p>
        </w:tc>
        <w:tc>
          <w:tcPr>
            <w:tcW w:w="1963" w:type="dxa"/>
          </w:tcPr>
          <w:p w14:paraId="78B067D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20 (32%)</w:t>
            </w:r>
          </w:p>
        </w:tc>
        <w:tc>
          <w:tcPr>
            <w:tcW w:w="2134" w:type="dxa"/>
          </w:tcPr>
          <w:p w14:paraId="228D1E1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11 (15%)</w:t>
            </w:r>
          </w:p>
        </w:tc>
        <w:tc>
          <w:tcPr>
            <w:tcW w:w="1242" w:type="dxa"/>
          </w:tcPr>
          <w:p w14:paraId="1AC92B6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24825FC0" w14:textId="77777777" w:rsidTr="00B500CD">
        <w:tc>
          <w:tcPr>
            <w:tcW w:w="2683" w:type="dxa"/>
          </w:tcPr>
          <w:p w14:paraId="4E34A07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Negative</w:t>
            </w:r>
          </w:p>
        </w:tc>
        <w:tc>
          <w:tcPr>
            <w:tcW w:w="1426" w:type="dxa"/>
          </w:tcPr>
          <w:p w14:paraId="53FD48F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21 (16%)</w:t>
            </w:r>
          </w:p>
        </w:tc>
        <w:tc>
          <w:tcPr>
            <w:tcW w:w="1963" w:type="dxa"/>
          </w:tcPr>
          <w:p w14:paraId="36E584C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12 (19%)</w:t>
            </w:r>
          </w:p>
        </w:tc>
        <w:tc>
          <w:tcPr>
            <w:tcW w:w="2134" w:type="dxa"/>
          </w:tcPr>
          <w:p w14:paraId="1E24681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9 (13%)</w:t>
            </w:r>
          </w:p>
        </w:tc>
        <w:tc>
          <w:tcPr>
            <w:tcW w:w="1242" w:type="dxa"/>
          </w:tcPr>
          <w:p w14:paraId="75BB10D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2A2F661B" w14:textId="77777777" w:rsidTr="00B500CD">
        <w:tc>
          <w:tcPr>
            <w:tcW w:w="2683" w:type="dxa"/>
          </w:tcPr>
          <w:p w14:paraId="38A0197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Unknown</w:t>
            </w:r>
          </w:p>
        </w:tc>
        <w:tc>
          <w:tcPr>
            <w:tcW w:w="1426" w:type="dxa"/>
          </w:tcPr>
          <w:p w14:paraId="70FD1C4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83 (61%)</w:t>
            </w:r>
          </w:p>
        </w:tc>
        <w:tc>
          <w:tcPr>
            <w:tcW w:w="1963" w:type="dxa"/>
          </w:tcPr>
          <w:p w14:paraId="3933B9C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31 (49%)</w:t>
            </w:r>
          </w:p>
        </w:tc>
        <w:tc>
          <w:tcPr>
            <w:tcW w:w="2134" w:type="dxa"/>
          </w:tcPr>
          <w:p w14:paraId="106AA7E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52 (72%)</w:t>
            </w:r>
          </w:p>
        </w:tc>
        <w:tc>
          <w:tcPr>
            <w:tcW w:w="1242" w:type="dxa"/>
          </w:tcPr>
          <w:p w14:paraId="66B789D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20178D79" w14:textId="77777777" w:rsidTr="00B500CD">
        <w:tc>
          <w:tcPr>
            <w:tcW w:w="2683" w:type="dxa"/>
          </w:tcPr>
          <w:p w14:paraId="776CD65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HER2 status</w:t>
            </w:r>
          </w:p>
        </w:tc>
        <w:tc>
          <w:tcPr>
            <w:tcW w:w="1426" w:type="dxa"/>
          </w:tcPr>
          <w:p w14:paraId="25680B8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963" w:type="dxa"/>
          </w:tcPr>
          <w:p w14:paraId="238FAD0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2134" w:type="dxa"/>
          </w:tcPr>
          <w:p w14:paraId="59EE0E6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242" w:type="dxa"/>
          </w:tcPr>
          <w:p w14:paraId="1CAC7BD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0.086</w:t>
            </w:r>
          </w:p>
        </w:tc>
      </w:tr>
      <w:tr w:rsidR="00B113B5" w:rsidRPr="002A17B0" w14:paraId="63F3D5C4" w14:textId="77777777" w:rsidTr="00B500CD">
        <w:tc>
          <w:tcPr>
            <w:tcW w:w="2683" w:type="dxa"/>
          </w:tcPr>
          <w:p w14:paraId="429B0E6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Positive</w:t>
            </w:r>
          </w:p>
        </w:tc>
        <w:tc>
          <w:tcPr>
            <w:tcW w:w="1426" w:type="dxa"/>
          </w:tcPr>
          <w:p w14:paraId="518589F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21 (16%)</w:t>
            </w:r>
          </w:p>
        </w:tc>
        <w:tc>
          <w:tcPr>
            <w:tcW w:w="1963" w:type="dxa"/>
          </w:tcPr>
          <w:p w14:paraId="0B0BD50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12 (19%)</w:t>
            </w:r>
          </w:p>
        </w:tc>
        <w:tc>
          <w:tcPr>
            <w:tcW w:w="2134" w:type="dxa"/>
          </w:tcPr>
          <w:p w14:paraId="5FF83BC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9 (13%)</w:t>
            </w:r>
          </w:p>
        </w:tc>
        <w:tc>
          <w:tcPr>
            <w:tcW w:w="1242" w:type="dxa"/>
          </w:tcPr>
          <w:p w14:paraId="5119C05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343D3678" w14:textId="77777777" w:rsidTr="00B500CD">
        <w:tc>
          <w:tcPr>
            <w:tcW w:w="2683" w:type="dxa"/>
          </w:tcPr>
          <w:p w14:paraId="1C5CA11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Negative</w:t>
            </w:r>
          </w:p>
        </w:tc>
        <w:tc>
          <w:tcPr>
            <w:tcW w:w="1426" w:type="dxa"/>
          </w:tcPr>
          <w:p w14:paraId="289C9D8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28 (21%)</w:t>
            </w:r>
          </w:p>
        </w:tc>
        <w:tc>
          <w:tcPr>
            <w:tcW w:w="1963" w:type="dxa"/>
          </w:tcPr>
          <w:p w14:paraId="1B53803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17 (27%)</w:t>
            </w:r>
          </w:p>
        </w:tc>
        <w:tc>
          <w:tcPr>
            <w:tcW w:w="2134" w:type="dxa"/>
          </w:tcPr>
          <w:p w14:paraId="6D6B48D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11 (15%)</w:t>
            </w:r>
          </w:p>
        </w:tc>
        <w:tc>
          <w:tcPr>
            <w:tcW w:w="1242" w:type="dxa"/>
          </w:tcPr>
          <w:p w14:paraId="47D7935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40C153EB" w14:textId="77777777" w:rsidTr="00B500CD">
        <w:tc>
          <w:tcPr>
            <w:tcW w:w="2683" w:type="dxa"/>
          </w:tcPr>
          <w:p w14:paraId="2B5F71B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Unknown</w:t>
            </w:r>
          </w:p>
        </w:tc>
        <w:tc>
          <w:tcPr>
            <w:tcW w:w="1426" w:type="dxa"/>
          </w:tcPr>
          <w:p w14:paraId="079A1DF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86 (64%)</w:t>
            </w:r>
          </w:p>
        </w:tc>
        <w:tc>
          <w:tcPr>
            <w:tcW w:w="1963" w:type="dxa"/>
          </w:tcPr>
          <w:p w14:paraId="3E7C9E8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34 (54%)</w:t>
            </w:r>
          </w:p>
        </w:tc>
        <w:tc>
          <w:tcPr>
            <w:tcW w:w="2134" w:type="dxa"/>
          </w:tcPr>
          <w:p w14:paraId="4DDB001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52 (72%)</w:t>
            </w:r>
          </w:p>
        </w:tc>
        <w:tc>
          <w:tcPr>
            <w:tcW w:w="1242" w:type="dxa"/>
          </w:tcPr>
          <w:p w14:paraId="659FDBD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07E6C11A" w14:textId="77777777" w:rsidTr="00B500CD">
        <w:tc>
          <w:tcPr>
            <w:tcW w:w="2683" w:type="dxa"/>
          </w:tcPr>
          <w:p w14:paraId="53BD3A8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Clinical subtype</w:t>
            </w:r>
          </w:p>
        </w:tc>
        <w:tc>
          <w:tcPr>
            <w:tcW w:w="1426" w:type="dxa"/>
          </w:tcPr>
          <w:p w14:paraId="1D7B5D4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963" w:type="dxa"/>
          </w:tcPr>
          <w:p w14:paraId="20B65FE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2134" w:type="dxa"/>
          </w:tcPr>
          <w:p w14:paraId="0F893AF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242" w:type="dxa"/>
          </w:tcPr>
          <w:p w14:paraId="1EA7013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0.968</w:t>
            </w:r>
          </w:p>
        </w:tc>
      </w:tr>
      <w:tr w:rsidR="00B113B5" w:rsidRPr="002A17B0" w14:paraId="29DD2DFE" w14:textId="77777777" w:rsidTr="00B500CD">
        <w:tc>
          <w:tcPr>
            <w:tcW w:w="2683" w:type="dxa"/>
          </w:tcPr>
          <w:p w14:paraId="3A8AAA4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HR+/HER2+</w:t>
            </w:r>
          </w:p>
        </w:tc>
        <w:tc>
          <w:tcPr>
            <w:tcW w:w="1426" w:type="dxa"/>
          </w:tcPr>
          <w:p w14:paraId="74B4647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15 (31%)</w:t>
            </w:r>
          </w:p>
        </w:tc>
        <w:tc>
          <w:tcPr>
            <w:tcW w:w="1963" w:type="dxa"/>
          </w:tcPr>
          <w:p w14:paraId="477E821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9 (31%)</w:t>
            </w:r>
          </w:p>
        </w:tc>
        <w:tc>
          <w:tcPr>
            <w:tcW w:w="2134" w:type="dxa"/>
          </w:tcPr>
          <w:p w14:paraId="5B5299C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6 (30%)</w:t>
            </w:r>
          </w:p>
        </w:tc>
        <w:tc>
          <w:tcPr>
            <w:tcW w:w="1242" w:type="dxa"/>
          </w:tcPr>
          <w:p w14:paraId="0AE2622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6199E648" w14:textId="77777777" w:rsidTr="00B500CD">
        <w:tc>
          <w:tcPr>
            <w:tcW w:w="2683" w:type="dxa"/>
          </w:tcPr>
          <w:p w14:paraId="253A345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HR+/HER2-</w:t>
            </w:r>
          </w:p>
        </w:tc>
        <w:tc>
          <w:tcPr>
            <w:tcW w:w="1426" w:type="dxa"/>
          </w:tcPr>
          <w:p w14:paraId="44F73AA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20 (41%)</w:t>
            </w:r>
          </w:p>
        </w:tc>
        <w:tc>
          <w:tcPr>
            <w:tcW w:w="1963" w:type="dxa"/>
          </w:tcPr>
          <w:p w14:paraId="5B932B2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12 (41%)</w:t>
            </w:r>
          </w:p>
        </w:tc>
        <w:tc>
          <w:tcPr>
            <w:tcW w:w="2134" w:type="dxa"/>
          </w:tcPr>
          <w:p w14:paraId="37EC7B3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 (40%)</w:t>
            </w:r>
          </w:p>
        </w:tc>
        <w:tc>
          <w:tcPr>
            <w:tcW w:w="1242" w:type="dxa"/>
          </w:tcPr>
          <w:p w14:paraId="064008A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51590A0A" w14:textId="77777777" w:rsidTr="00B500CD">
        <w:tc>
          <w:tcPr>
            <w:tcW w:w="2683" w:type="dxa"/>
          </w:tcPr>
          <w:p w14:paraId="682447A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HR-/HER2+</w:t>
            </w:r>
          </w:p>
        </w:tc>
        <w:tc>
          <w:tcPr>
            <w:tcW w:w="1426" w:type="dxa"/>
          </w:tcPr>
          <w:p w14:paraId="52DD8FE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6 (12%)</w:t>
            </w:r>
          </w:p>
        </w:tc>
        <w:tc>
          <w:tcPr>
            <w:tcW w:w="1963" w:type="dxa"/>
          </w:tcPr>
          <w:p w14:paraId="18E79B7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 (10%)</w:t>
            </w:r>
          </w:p>
        </w:tc>
        <w:tc>
          <w:tcPr>
            <w:tcW w:w="2134" w:type="dxa"/>
          </w:tcPr>
          <w:p w14:paraId="0844F82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 (15%)</w:t>
            </w:r>
          </w:p>
        </w:tc>
        <w:tc>
          <w:tcPr>
            <w:tcW w:w="1242" w:type="dxa"/>
          </w:tcPr>
          <w:p w14:paraId="58F1DA8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2CBB16E6" w14:textId="77777777" w:rsidTr="00B500CD">
        <w:tc>
          <w:tcPr>
            <w:tcW w:w="2683" w:type="dxa"/>
          </w:tcPr>
          <w:p w14:paraId="5FE306C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HR-/HER2-</w:t>
            </w:r>
          </w:p>
        </w:tc>
        <w:tc>
          <w:tcPr>
            <w:tcW w:w="1426" w:type="dxa"/>
          </w:tcPr>
          <w:p w14:paraId="23882F1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 (16%)</w:t>
            </w:r>
          </w:p>
        </w:tc>
        <w:tc>
          <w:tcPr>
            <w:tcW w:w="1963" w:type="dxa"/>
          </w:tcPr>
          <w:p w14:paraId="3A83C95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 (17%)</w:t>
            </w:r>
          </w:p>
        </w:tc>
        <w:tc>
          <w:tcPr>
            <w:tcW w:w="2134" w:type="dxa"/>
          </w:tcPr>
          <w:p w14:paraId="6CD0FB9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 (15%)</w:t>
            </w:r>
          </w:p>
        </w:tc>
        <w:tc>
          <w:tcPr>
            <w:tcW w:w="1242" w:type="dxa"/>
          </w:tcPr>
          <w:p w14:paraId="2850543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5B0E4DBF" w14:textId="77777777" w:rsidTr="00B500CD">
        <w:tc>
          <w:tcPr>
            <w:tcW w:w="2683" w:type="dxa"/>
          </w:tcPr>
          <w:p w14:paraId="206A3E6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proofErr w:type="spellStart"/>
            <w:r w:rsidRPr="002A17B0">
              <w:rPr>
                <w:rFonts w:eastAsia="Arial"/>
                <w:b/>
                <w:color w:val="000000"/>
                <w:sz w:val="22"/>
                <w:szCs w:val="22"/>
              </w:rPr>
              <w:t>Tumour</w:t>
            </w:r>
            <w:proofErr w:type="spellEnd"/>
            <w:r w:rsidRPr="002A17B0">
              <w:rPr>
                <w:rFonts w:eastAsia="Arial"/>
                <w:b/>
                <w:color w:val="000000"/>
                <w:sz w:val="22"/>
                <w:szCs w:val="22"/>
              </w:rPr>
              <w:t xml:space="preserve"> grade</w:t>
            </w:r>
          </w:p>
        </w:tc>
        <w:tc>
          <w:tcPr>
            <w:tcW w:w="1426" w:type="dxa"/>
          </w:tcPr>
          <w:p w14:paraId="26E824B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963" w:type="dxa"/>
          </w:tcPr>
          <w:p w14:paraId="32D58EF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2134" w:type="dxa"/>
          </w:tcPr>
          <w:p w14:paraId="45DB928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242" w:type="dxa"/>
          </w:tcPr>
          <w:p w14:paraId="1391CA6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0.012</w:t>
            </w:r>
          </w:p>
        </w:tc>
      </w:tr>
      <w:tr w:rsidR="00B113B5" w:rsidRPr="002A17B0" w14:paraId="0788A0EF" w14:textId="77777777" w:rsidTr="00B500CD">
        <w:tc>
          <w:tcPr>
            <w:tcW w:w="2683" w:type="dxa"/>
          </w:tcPr>
          <w:p w14:paraId="4EC9760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Grade 1</w:t>
            </w:r>
          </w:p>
        </w:tc>
        <w:tc>
          <w:tcPr>
            <w:tcW w:w="1426" w:type="dxa"/>
          </w:tcPr>
          <w:p w14:paraId="21C2862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 (5.9%)</w:t>
            </w:r>
          </w:p>
        </w:tc>
        <w:tc>
          <w:tcPr>
            <w:tcW w:w="1963" w:type="dxa"/>
          </w:tcPr>
          <w:p w14:paraId="3EA126D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4 (6.3%)</w:t>
            </w:r>
          </w:p>
        </w:tc>
        <w:tc>
          <w:tcPr>
            <w:tcW w:w="2134" w:type="dxa"/>
          </w:tcPr>
          <w:p w14:paraId="475BC11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4 (5.6%)</w:t>
            </w:r>
          </w:p>
        </w:tc>
        <w:tc>
          <w:tcPr>
            <w:tcW w:w="1242" w:type="dxa"/>
          </w:tcPr>
          <w:p w14:paraId="260ACDD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4766F6EA" w14:textId="77777777" w:rsidTr="00B500CD">
        <w:tc>
          <w:tcPr>
            <w:tcW w:w="2683" w:type="dxa"/>
          </w:tcPr>
          <w:p w14:paraId="1F9297C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Grade 2</w:t>
            </w:r>
          </w:p>
        </w:tc>
        <w:tc>
          <w:tcPr>
            <w:tcW w:w="1426" w:type="dxa"/>
          </w:tcPr>
          <w:p w14:paraId="55D5E53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58 (43%)</w:t>
            </w:r>
          </w:p>
        </w:tc>
        <w:tc>
          <w:tcPr>
            <w:tcW w:w="1963" w:type="dxa"/>
          </w:tcPr>
          <w:p w14:paraId="09C8529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36 (57%)</w:t>
            </w:r>
          </w:p>
        </w:tc>
        <w:tc>
          <w:tcPr>
            <w:tcW w:w="2134" w:type="dxa"/>
          </w:tcPr>
          <w:p w14:paraId="6515473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22 (31%)</w:t>
            </w:r>
          </w:p>
        </w:tc>
        <w:tc>
          <w:tcPr>
            <w:tcW w:w="1242" w:type="dxa"/>
          </w:tcPr>
          <w:p w14:paraId="7C5AEDE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66FFF066" w14:textId="77777777" w:rsidTr="00B500CD">
        <w:tc>
          <w:tcPr>
            <w:tcW w:w="2683" w:type="dxa"/>
          </w:tcPr>
          <w:p w14:paraId="541B4A0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Grade 3</w:t>
            </w:r>
          </w:p>
        </w:tc>
        <w:tc>
          <w:tcPr>
            <w:tcW w:w="1426" w:type="dxa"/>
          </w:tcPr>
          <w:p w14:paraId="35F47C7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50 (37%)</w:t>
            </w:r>
          </w:p>
        </w:tc>
        <w:tc>
          <w:tcPr>
            <w:tcW w:w="1963" w:type="dxa"/>
          </w:tcPr>
          <w:p w14:paraId="7F56928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18 (29%)</w:t>
            </w:r>
          </w:p>
        </w:tc>
        <w:tc>
          <w:tcPr>
            <w:tcW w:w="2134" w:type="dxa"/>
          </w:tcPr>
          <w:p w14:paraId="373F331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32 (44%)</w:t>
            </w:r>
          </w:p>
        </w:tc>
        <w:tc>
          <w:tcPr>
            <w:tcW w:w="1242" w:type="dxa"/>
          </w:tcPr>
          <w:p w14:paraId="0E978CC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6401FACA" w14:textId="77777777" w:rsidTr="00B500CD">
        <w:tc>
          <w:tcPr>
            <w:tcW w:w="2683" w:type="dxa"/>
          </w:tcPr>
          <w:p w14:paraId="03B677E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Unknown</w:t>
            </w:r>
          </w:p>
        </w:tc>
        <w:tc>
          <w:tcPr>
            <w:tcW w:w="1426" w:type="dxa"/>
          </w:tcPr>
          <w:p w14:paraId="0A22ECF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19 (14%)</w:t>
            </w:r>
          </w:p>
        </w:tc>
        <w:tc>
          <w:tcPr>
            <w:tcW w:w="1963" w:type="dxa"/>
          </w:tcPr>
          <w:p w14:paraId="78EA09A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 (7.9%)</w:t>
            </w:r>
          </w:p>
        </w:tc>
        <w:tc>
          <w:tcPr>
            <w:tcW w:w="2134" w:type="dxa"/>
          </w:tcPr>
          <w:p w14:paraId="4581863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14 (19%)</w:t>
            </w:r>
          </w:p>
        </w:tc>
        <w:tc>
          <w:tcPr>
            <w:tcW w:w="1242" w:type="dxa"/>
          </w:tcPr>
          <w:p w14:paraId="1507B6F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63395534" w14:textId="77777777" w:rsidTr="00B500CD">
        <w:tc>
          <w:tcPr>
            <w:tcW w:w="9448" w:type="dxa"/>
            <w:gridSpan w:val="5"/>
          </w:tcPr>
          <w:p w14:paraId="3AFEFCE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color w:val="000000"/>
                <w:sz w:val="22"/>
                <w:szCs w:val="22"/>
              </w:rPr>
            </w:pPr>
            <w:r w:rsidRPr="002A17B0">
              <w:rPr>
                <w:rFonts w:eastAsia="Arial"/>
                <w:color w:val="000000"/>
                <w:sz w:val="22"/>
                <w:szCs w:val="22"/>
              </w:rPr>
              <w:t>n (%)</w:t>
            </w:r>
          </w:p>
        </w:tc>
      </w:tr>
    </w:tbl>
    <w:p w14:paraId="29868E93" w14:textId="77777777" w:rsidR="00B113B5" w:rsidRDefault="00B113B5" w:rsidP="00B113B5">
      <w:pPr>
        <w:pStyle w:val="p1"/>
        <w:spacing w:before="0" w:beforeAutospacing="0" w:after="0" w:afterAutospacing="0"/>
        <w:rPr>
          <w:sz w:val="21"/>
          <w:szCs w:val="21"/>
        </w:rPr>
      </w:pPr>
      <w:r w:rsidRPr="00AE3759">
        <w:rPr>
          <w:sz w:val="21"/>
          <w:szCs w:val="21"/>
        </w:rPr>
        <w:t>Data are presented as n (%). P-values were calculated using Pearson’s chi-squared test or Fisher’s exact test, as appropriate.</w:t>
      </w:r>
    </w:p>
    <w:p w14:paraId="2A185959" w14:textId="77777777" w:rsidR="00B113B5" w:rsidRPr="00AE3759" w:rsidRDefault="00B113B5" w:rsidP="00B113B5">
      <w:pPr>
        <w:pStyle w:val="p1"/>
        <w:spacing w:before="0" w:beforeAutospacing="0" w:after="0" w:afterAutospacing="0"/>
        <w:rPr>
          <w:sz w:val="21"/>
          <w:szCs w:val="21"/>
        </w:rPr>
      </w:pPr>
      <w:r w:rsidRPr="00AE3759">
        <w:rPr>
          <w:sz w:val="21"/>
          <w:szCs w:val="21"/>
        </w:rPr>
        <w:t>ER, estrogen receptor; PR, progesterone receptor; HER2, human epidermal growth factor receptor 2; HR, hormone receptor; MBC, metastatic breast cancer.</w:t>
      </w:r>
    </w:p>
    <w:p w14:paraId="3FB0B61A" w14:textId="77777777" w:rsidR="001542F5" w:rsidRDefault="001542F5" w:rsidP="003962D6">
      <w:pPr>
        <w:pStyle w:val="Heading2"/>
        <w:numPr>
          <w:ilvl w:val="0"/>
          <w:numId w:val="0"/>
        </w:numPr>
        <w:rPr>
          <w:rStyle w:val="s1"/>
          <w:rFonts w:ascii="Times New Roman" w:hAnsi="Times New Roman" w:cs="Times New Roman"/>
          <w:sz w:val="28"/>
          <w:szCs w:val="28"/>
        </w:rPr>
      </w:pPr>
    </w:p>
    <w:p w14:paraId="26EDDEB8" w14:textId="4CF4AF5C" w:rsidR="009345A5" w:rsidRPr="00ED3CD5" w:rsidRDefault="00ED3CD5" w:rsidP="00ED3CD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b w:val="0"/>
          <w:bCs/>
          <w:i w:val="0"/>
          <w:iCs/>
        </w:rPr>
      </w:pPr>
      <w:r w:rsidRPr="00ED3CD5">
        <w:rPr>
          <w:b w:val="0"/>
          <w:bCs/>
          <w:i w:val="0"/>
          <w:iCs/>
        </w:rPr>
        <w:t xml:space="preserve">As seen in Table 2, the metastatic burden was not different between de novo and recurrent MBC (p = 0.138) and most patients had metastasis at one site. There were no significant differences in the frequencies of lung, liver, CNS, contralateral breast, and other/multiple site </w:t>
      </w:r>
      <w:r w:rsidRPr="00ED3CD5">
        <w:rPr>
          <w:b w:val="0"/>
          <w:bCs/>
          <w:i w:val="0"/>
          <w:iCs/>
        </w:rPr>
        <w:lastRenderedPageBreak/>
        <w:t>metastases. There was a significantly higher incidence of bone metastasis in the de novo MBC compared with the recurrent MBC (60% vs. 35% p = 0.006). (Table 2)</w:t>
      </w:r>
    </w:p>
    <w:p w14:paraId="019B3378" w14:textId="77777777" w:rsidR="00B113B5" w:rsidRDefault="00B113B5" w:rsidP="00B113B5">
      <w:pPr>
        <w:rPr>
          <w:b/>
          <w:bCs/>
        </w:rPr>
      </w:pPr>
      <w:r w:rsidRPr="00D3070F">
        <w:rPr>
          <w:b/>
          <w:bCs/>
        </w:rPr>
        <w:t>Table 2</w:t>
      </w:r>
      <w:r>
        <w:rPr>
          <w:b/>
          <w:bCs/>
        </w:rPr>
        <w:t>:</w:t>
      </w:r>
      <w:r w:rsidRPr="00D3070F">
        <w:rPr>
          <w:b/>
          <w:bCs/>
        </w:rPr>
        <w:t xml:space="preserve"> Disease characteristics and metastatic patterns in patients with de novo and recurrent metastatic breast cancer (MBC)</w:t>
      </w:r>
    </w:p>
    <w:p w14:paraId="3A123911" w14:textId="77777777" w:rsidR="00B113B5" w:rsidRDefault="00B113B5" w:rsidP="00B113B5">
      <w:pPr>
        <w:rPr>
          <w:b/>
          <w:bCs/>
        </w:rPr>
      </w:pPr>
    </w:p>
    <w:tbl>
      <w:tblPr>
        <w:tblStyle w:val="TableGrid"/>
        <w:tblW w:w="0" w:type="auto"/>
        <w:tblLayout w:type="fixed"/>
        <w:tblLook w:val="0420" w:firstRow="1" w:lastRow="0" w:firstColumn="0" w:lastColumn="0" w:noHBand="0" w:noVBand="1"/>
      </w:tblPr>
      <w:tblGrid>
        <w:gridCol w:w="2628"/>
        <w:gridCol w:w="1692"/>
        <w:gridCol w:w="1687"/>
        <w:gridCol w:w="1835"/>
        <w:gridCol w:w="1068"/>
      </w:tblGrid>
      <w:tr w:rsidR="00B113B5" w:rsidRPr="002A17B0" w14:paraId="496AA16D" w14:textId="77777777" w:rsidTr="00B500CD">
        <w:trPr>
          <w:trHeight w:val="324"/>
        </w:trPr>
        <w:tc>
          <w:tcPr>
            <w:tcW w:w="4320" w:type="dxa"/>
            <w:gridSpan w:val="2"/>
          </w:tcPr>
          <w:p w14:paraId="68241D0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rPr>
                <w:rFonts w:eastAsia="Arial"/>
                <w:color w:val="000000"/>
                <w:sz w:val="22"/>
                <w:szCs w:val="22"/>
              </w:rPr>
            </w:pPr>
            <w:r w:rsidRPr="002A17B0">
              <w:rPr>
                <w:rFonts w:eastAsia="Arial"/>
                <w:color w:val="000000"/>
                <w:sz w:val="22"/>
                <w:szCs w:val="22"/>
              </w:rPr>
              <w:t xml:space="preserve"> </w:t>
            </w:r>
          </w:p>
        </w:tc>
        <w:tc>
          <w:tcPr>
            <w:tcW w:w="3522" w:type="dxa"/>
            <w:gridSpan w:val="2"/>
          </w:tcPr>
          <w:p w14:paraId="4C7AE21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MBC Type</w:t>
            </w:r>
          </w:p>
        </w:tc>
        <w:tc>
          <w:tcPr>
            <w:tcW w:w="1068" w:type="dxa"/>
          </w:tcPr>
          <w:p w14:paraId="2140AE4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color w:val="000000"/>
                <w:sz w:val="22"/>
                <w:szCs w:val="22"/>
              </w:rPr>
              <w:t xml:space="preserve"> </w:t>
            </w:r>
          </w:p>
        </w:tc>
      </w:tr>
      <w:tr w:rsidR="00B113B5" w:rsidRPr="002A17B0" w14:paraId="1FA9CD89" w14:textId="77777777" w:rsidTr="00B500CD">
        <w:trPr>
          <w:trHeight w:val="587"/>
        </w:trPr>
        <w:tc>
          <w:tcPr>
            <w:tcW w:w="2628" w:type="dxa"/>
          </w:tcPr>
          <w:p w14:paraId="1ABF9EF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rPr>
                <w:rFonts w:eastAsia="Arial"/>
                <w:color w:val="000000"/>
                <w:sz w:val="22"/>
                <w:szCs w:val="22"/>
              </w:rPr>
            </w:pPr>
            <w:r w:rsidRPr="002A17B0">
              <w:rPr>
                <w:rFonts w:eastAsia="Arial"/>
                <w:b/>
                <w:color w:val="000000"/>
                <w:sz w:val="22"/>
                <w:szCs w:val="22"/>
              </w:rPr>
              <w:t>Disease Characteristic</w:t>
            </w:r>
          </w:p>
        </w:tc>
        <w:tc>
          <w:tcPr>
            <w:tcW w:w="1692" w:type="dxa"/>
          </w:tcPr>
          <w:p w14:paraId="4441ADA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Overall</w:t>
            </w:r>
            <w:r w:rsidRPr="002A17B0">
              <w:rPr>
                <w:rFonts w:eastAsia="Arial"/>
                <w:color w:val="000000"/>
                <w:sz w:val="22"/>
                <w:szCs w:val="22"/>
              </w:rPr>
              <w:t xml:space="preserve">  </w:t>
            </w:r>
            <w:r w:rsidRPr="002A17B0">
              <w:rPr>
                <w:rFonts w:eastAsia="Arial"/>
                <w:color w:val="000000"/>
                <w:sz w:val="22"/>
                <w:szCs w:val="22"/>
              </w:rPr>
              <w:br/>
              <w:t>N = 135</w:t>
            </w:r>
          </w:p>
        </w:tc>
        <w:tc>
          <w:tcPr>
            <w:tcW w:w="1687" w:type="dxa"/>
          </w:tcPr>
          <w:p w14:paraId="26AF2C7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De novo MBC</w:t>
            </w:r>
            <w:r w:rsidRPr="002A17B0">
              <w:rPr>
                <w:rFonts w:eastAsia="Arial"/>
                <w:color w:val="000000"/>
                <w:sz w:val="22"/>
                <w:szCs w:val="22"/>
              </w:rPr>
              <w:t xml:space="preserve">  </w:t>
            </w:r>
            <w:r w:rsidRPr="002A17B0">
              <w:rPr>
                <w:rFonts w:eastAsia="Arial"/>
                <w:color w:val="000000"/>
                <w:sz w:val="22"/>
                <w:szCs w:val="22"/>
              </w:rPr>
              <w:br/>
              <w:t>N = 63</w:t>
            </w:r>
          </w:p>
        </w:tc>
        <w:tc>
          <w:tcPr>
            <w:tcW w:w="1835" w:type="dxa"/>
          </w:tcPr>
          <w:p w14:paraId="294AB54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Recurrent MBC</w:t>
            </w:r>
            <w:r w:rsidRPr="002A17B0">
              <w:rPr>
                <w:rFonts w:eastAsia="Arial"/>
                <w:color w:val="000000"/>
                <w:sz w:val="22"/>
                <w:szCs w:val="22"/>
              </w:rPr>
              <w:t xml:space="preserve">  </w:t>
            </w:r>
            <w:r w:rsidRPr="002A17B0">
              <w:rPr>
                <w:rFonts w:eastAsia="Arial"/>
                <w:color w:val="000000"/>
                <w:sz w:val="22"/>
                <w:szCs w:val="22"/>
              </w:rPr>
              <w:br/>
              <w:t>N = 72</w:t>
            </w:r>
          </w:p>
        </w:tc>
        <w:tc>
          <w:tcPr>
            <w:tcW w:w="1068" w:type="dxa"/>
          </w:tcPr>
          <w:p w14:paraId="3219B7B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p-value</w:t>
            </w:r>
          </w:p>
        </w:tc>
      </w:tr>
      <w:tr w:rsidR="00B113B5" w:rsidRPr="002A17B0" w14:paraId="5649E26E" w14:textId="77777777" w:rsidTr="00B500CD">
        <w:trPr>
          <w:trHeight w:val="711"/>
        </w:trPr>
        <w:tc>
          <w:tcPr>
            <w:tcW w:w="2628" w:type="dxa"/>
          </w:tcPr>
          <w:p w14:paraId="503EC36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Metastatic burden (no. of sites)</w:t>
            </w:r>
          </w:p>
        </w:tc>
        <w:tc>
          <w:tcPr>
            <w:tcW w:w="1692" w:type="dxa"/>
          </w:tcPr>
          <w:p w14:paraId="12DA4C7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687" w:type="dxa"/>
          </w:tcPr>
          <w:p w14:paraId="5BB3234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835" w:type="dxa"/>
          </w:tcPr>
          <w:p w14:paraId="025C41C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068" w:type="dxa"/>
          </w:tcPr>
          <w:p w14:paraId="2854BFA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0.138</w:t>
            </w:r>
          </w:p>
        </w:tc>
      </w:tr>
      <w:tr w:rsidR="00B113B5" w:rsidRPr="002A17B0" w14:paraId="5F38D406" w14:textId="77777777" w:rsidTr="00B500CD">
        <w:trPr>
          <w:trHeight w:val="447"/>
        </w:trPr>
        <w:tc>
          <w:tcPr>
            <w:tcW w:w="2628" w:type="dxa"/>
          </w:tcPr>
          <w:p w14:paraId="6B80889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1 site</w:t>
            </w:r>
          </w:p>
        </w:tc>
        <w:tc>
          <w:tcPr>
            <w:tcW w:w="1692" w:type="dxa"/>
          </w:tcPr>
          <w:p w14:paraId="3D05525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78 (59%)</w:t>
            </w:r>
          </w:p>
        </w:tc>
        <w:tc>
          <w:tcPr>
            <w:tcW w:w="1687" w:type="dxa"/>
          </w:tcPr>
          <w:p w14:paraId="103497B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32 (52%)</w:t>
            </w:r>
          </w:p>
        </w:tc>
        <w:tc>
          <w:tcPr>
            <w:tcW w:w="1835" w:type="dxa"/>
          </w:tcPr>
          <w:p w14:paraId="4CAD259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46 (66%)</w:t>
            </w:r>
          </w:p>
        </w:tc>
        <w:tc>
          <w:tcPr>
            <w:tcW w:w="1068" w:type="dxa"/>
          </w:tcPr>
          <w:p w14:paraId="2987F11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2B3B1379" w14:textId="77777777" w:rsidTr="00B500CD">
        <w:trPr>
          <w:trHeight w:val="447"/>
        </w:trPr>
        <w:tc>
          <w:tcPr>
            <w:tcW w:w="2628" w:type="dxa"/>
          </w:tcPr>
          <w:p w14:paraId="222ACDC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2-3 sites</w:t>
            </w:r>
          </w:p>
        </w:tc>
        <w:tc>
          <w:tcPr>
            <w:tcW w:w="1692" w:type="dxa"/>
          </w:tcPr>
          <w:p w14:paraId="5F2474A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53 (40%)</w:t>
            </w:r>
          </w:p>
        </w:tc>
        <w:tc>
          <w:tcPr>
            <w:tcW w:w="1687" w:type="dxa"/>
          </w:tcPr>
          <w:p w14:paraId="149CEB9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30 (48%)</w:t>
            </w:r>
          </w:p>
        </w:tc>
        <w:tc>
          <w:tcPr>
            <w:tcW w:w="1835" w:type="dxa"/>
          </w:tcPr>
          <w:p w14:paraId="6306B20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23 (33%)</w:t>
            </w:r>
          </w:p>
        </w:tc>
        <w:tc>
          <w:tcPr>
            <w:tcW w:w="1068" w:type="dxa"/>
          </w:tcPr>
          <w:p w14:paraId="12E9B7C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1044E1" w14:paraId="61F30251" w14:textId="77777777" w:rsidTr="00B500CD">
        <w:trPr>
          <w:trHeight w:val="447"/>
        </w:trPr>
        <w:tc>
          <w:tcPr>
            <w:tcW w:w="2628" w:type="dxa"/>
          </w:tcPr>
          <w:p w14:paraId="1466D0D1"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1044E1">
              <w:rPr>
                <w:rFonts w:eastAsia="Arial"/>
                <w:color w:val="000000"/>
                <w:sz w:val="22"/>
                <w:szCs w:val="22"/>
              </w:rPr>
              <w:t>&gt;3 sites</w:t>
            </w:r>
          </w:p>
        </w:tc>
        <w:tc>
          <w:tcPr>
            <w:tcW w:w="1692" w:type="dxa"/>
          </w:tcPr>
          <w:p w14:paraId="47659CD2"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1044E1">
              <w:rPr>
                <w:rFonts w:eastAsia="Arial"/>
                <w:color w:val="000000"/>
                <w:sz w:val="22"/>
                <w:szCs w:val="22"/>
              </w:rPr>
              <w:t>15 (10.8%)</w:t>
            </w:r>
          </w:p>
        </w:tc>
        <w:tc>
          <w:tcPr>
            <w:tcW w:w="1687" w:type="dxa"/>
          </w:tcPr>
          <w:p w14:paraId="203DF54A"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1044E1">
              <w:rPr>
                <w:rFonts w:eastAsia="Arial"/>
                <w:color w:val="000000"/>
                <w:sz w:val="22"/>
                <w:szCs w:val="22"/>
              </w:rPr>
              <w:t>7 (11%)</w:t>
            </w:r>
          </w:p>
        </w:tc>
        <w:tc>
          <w:tcPr>
            <w:tcW w:w="1835" w:type="dxa"/>
          </w:tcPr>
          <w:p w14:paraId="03F7D8ED"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1044E1">
              <w:rPr>
                <w:rFonts w:eastAsia="Arial"/>
                <w:color w:val="000000"/>
                <w:sz w:val="22"/>
                <w:szCs w:val="22"/>
              </w:rPr>
              <w:t>8 (10.3%)</w:t>
            </w:r>
          </w:p>
        </w:tc>
        <w:tc>
          <w:tcPr>
            <w:tcW w:w="1068" w:type="dxa"/>
          </w:tcPr>
          <w:p w14:paraId="5649A2A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p>
        </w:tc>
      </w:tr>
      <w:tr w:rsidR="00B113B5" w:rsidRPr="002A17B0" w14:paraId="7F682C94" w14:textId="77777777" w:rsidTr="00B500CD">
        <w:trPr>
          <w:trHeight w:val="464"/>
        </w:trPr>
        <w:tc>
          <w:tcPr>
            <w:tcW w:w="2628" w:type="dxa"/>
          </w:tcPr>
          <w:p w14:paraId="42ACC91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Lung metastasis</w:t>
            </w:r>
          </w:p>
        </w:tc>
        <w:tc>
          <w:tcPr>
            <w:tcW w:w="1692" w:type="dxa"/>
          </w:tcPr>
          <w:p w14:paraId="79AB9E9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51 (38%)</w:t>
            </w:r>
          </w:p>
        </w:tc>
        <w:tc>
          <w:tcPr>
            <w:tcW w:w="1687" w:type="dxa"/>
          </w:tcPr>
          <w:p w14:paraId="47F0173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22 (35%)</w:t>
            </w:r>
          </w:p>
        </w:tc>
        <w:tc>
          <w:tcPr>
            <w:tcW w:w="1835" w:type="dxa"/>
          </w:tcPr>
          <w:p w14:paraId="60B8804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29 (41%)</w:t>
            </w:r>
          </w:p>
        </w:tc>
        <w:tc>
          <w:tcPr>
            <w:tcW w:w="1068" w:type="dxa"/>
          </w:tcPr>
          <w:p w14:paraId="211D62E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0.598</w:t>
            </w:r>
          </w:p>
        </w:tc>
      </w:tr>
      <w:tr w:rsidR="00B113B5" w:rsidRPr="002A17B0" w14:paraId="1C3BFB5C" w14:textId="77777777" w:rsidTr="00B500CD">
        <w:trPr>
          <w:trHeight w:val="695"/>
        </w:trPr>
        <w:tc>
          <w:tcPr>
            <w:tcW w:w="2628" w:type="dxa"/>
          </w:tcPr>
          <w:p w14:paraId="5A8322D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Liver metastasis</w:t>
            </w:r>
          </w:p>
        </w:tc>
        <w:tc>
          <w:tcPr>
            <w:tcW w:w="1692" w:type="dxa"/>
          </w:tcPr>
          <w:p w14:paraId="73DCCD0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13 (9.7%)</w:t>
            </w:r>
          </w:p>
        </w:tc>
        <w:tc>
          <w:tcPr>
            <w:tcW w:w="1687" w:type="dxa"/>
          </w:tcPr>
          <w:p w14:paraId="78B34CF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6 (9.5%)</w:t>
            </w:r>
          </w:p>
        </w:tc>
        <w:tc>
          <w:tcPr>
            <w:tcW w:w="1835" w:type="dxa"/>
          </w:tcPr>
          <w:p w14:paraId="119D0A2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7 (9.9%)</w:t>
            </w:r>
          </w:p>
        </w:tc>
        <w:tc>
          <w:tcPr>
            <w:tcW w:w="1068" w:type="dxa"/>
          </w:tcPr>
          <w:p w14:paraId="509C6E3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&gt;0.999</w:t>
            </w:r>
          </w:p>
        </w:tc>
      </w:tr>
      <w:tr w:rsidR="00B113B5" w:rsidRPr="002A17B0" w14:paraId="71348BF9" w14:textId="77777777" w:rsidTr="00B500CD">
        <w:trPr>
          <w:trHeight w:val="464"/>
        </w:trPr>
        <w:tc>
          <w:tcPr>
            <w:tcW w:w="2628" w:type="dxa"/>
          </w:tcPr>
          <w:p w14:paraId="4426BCA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Brain (CNS) metastasis</w:t>
            </w:r>
          </w:p>
        </w:tc>
        <w:tc>
          <w:tcPr>
            <w:tcW w:w="1692" w:type="dxa"/>
          </w:tcPr>
          <w:p w14:paraId="1D214B4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55 (41%)</w:t>
            </w:r>
          </w:p>
        </w:tc>
        <w:tc>
          <w:tcPr>
            <w:tcW w:w="1687" w:type="dxa"/>
          </w:tcPr>
          <w:p w14:paraId="2150F9F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25 (40%)</w:t>
            </w:r>
          </w:p>
        </w:tc>
        <w:tc>
          <w:tcPr>
            <w:tcW w:w="1835" w:type="dxa"/>
          </w:tcPr>
          <w:p w14:paraId="3A92748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30 (42%)</w:t>
            </w:r>
          </w:p>
        </w:tc>
        <w:tc>
          <w:tcPr>
            <w:tcW w:w="1068" w:type="dxa"/>
          </w:tcPr>
          <w:p w14:paraId="1F8CA22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0.900</w:t>
            </w:r>
          </w:p>
        </w:tc>
      </w:tr>
      <w:tr w:rsidR="00B113B5" w:rsidRPr="002A17B0" w14:paraId="3F815C08" w14:textId="77777777" w:rsidTr="00B500CD">
        <w:trPr>
          <w:trHeight w:val="447"/>
        </w:trPr>
        <w:tc>
          <w:tcPr>
            <w:tcW w:w="2628" w:type="dxa"/>
          </w:tcPr>
          <w:p w14:paraId="07EAD44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Bone metastasis</w:t>
            </w:r>
          </w:p>
        </w:tc>
        <w:tc>
          <w:tcPr>
            <w:tcW w:w="1692" w:type="dxa"/>
          </w:tcPr>
          <w:p w14:paraId="56DF901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63 (47%)</w:t>
            </w:r>
          </w:p>
        </w:tc>
        <w:tc>
          <w:tcPr>
            <w:tcW w:w="1687" w:type="dxa"/>
          </w:tcPr>
          <w:p w14:paraId="59A8E2A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38 (60%)</w:t>
            </w:r>
          </w:p>
        </w:tc>
        <w:tc>
          <w:tcPr>
            <w:tcW w:w="1835" w:type="dxa"/>
          </w:tcPr>
          <w:p w14:paraId="3F0C285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25 (35%)</w:t>
            </w:r>
          </w:p>
        </w:tc>
        <w:tc>
          <w:tcPr>
            <w:tcW w:w="1068" w:type="dxa"/>
          </w:tcPr>
          <w:p w14:paraId="50754FC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0.006</w:t>
            </w:r>
          </w:p>
        </w:tc>
      </w:tr>
      <w:tr w:rsidR="00B113B5" w:rsidRPr="002A17B0" w14:paraId="43385C74" w14:textId="77777777" w:rsidTr="00B500CD">
        <w:trPr>
          <w:trHeight w:val="447"/>
        </w:trPr>
        <w:tc>
          <w:tcPr>
            <w:tcW w:w="2628" w:type="dxa"/>
          </w:tcPr>
          <w:p w14:paraId="60B46C3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Opposite breast metastasis</w:t>
            </w:r>
          </w:p>
        </w:tc>
        <w:tc>
          <w:tcPr>
            <w:tcW w:w="1692" w:type="dxa"/>
          </w:tcPr>
          <w:p w14:paraId="04A8FEA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14 (10%)</w:t>
            </w:r>
          </w:p>
        </w:tc>
        <w:tc>
          <w:tcPr>
            <w:tcW w:w="1687" w:type="dxa"/>
          </w:tcPr>
          <w:p w14:paraId="623E4A1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7 (11%)</w:t>
            </w:r>
          </w:p>
        </w:tc>
        <w:tc>
          <w:tcPr>
            <w:tcW w:w="1835" w:type="dxa"/>
          </w:tcPr>
          <w:p w14:paraId="0AAD7D7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7 (9.9%)</w:t>
            </w:r>
          </w:p>
        </w:tc>
        <w:tc>
          <w:tcPr>
            <w:tcW w:w="1068" w:type="dxa"/>
          </w:tcPr>
          <w:p w14:paraId="3CB33D0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&gt;0.999</w:t>
            </w:r>
          </w:p>
        </w:tc>
      </w:tr>
    </w:tbl>
    <w:p w14:paraId="643FA91A" w14:textId="77777777" w:rsidR="00B113B5" w:rsidRPr="00E078DA" w:rsidRDefault="00B113B5" w:rsidP="00B113B5">
      <w:pPr>
        <w:rPr>
          <w:rFonts w:eastAsia="Arial"/>
          <w:color w:val="000000"/>
          <w:sz w:val="21"/>
          <w:szCs w:val="21"/>
        </w:rPr>
      </w:pPr>
      <w:r w:rsidRPr="00E078DA">
        <w:rPr>
          <w:rFonts w:eastAsia="Arial"/>
          <w:color w:val="000000"/>
          <w:sz w:val="21"/>
          <w:szCs w:val="21"/>
        </w:rPr>
        <w:t>Data are presented as n (%). P-values were calculated using Pearson’s chi-squared test or Fisher’s exact test, as appropriate.</w:t>
      </w:r>
    </w:p>
    <w:p w14:paraId="794737EA" w14:textId="77777777" w:rsidR="00B113B5" w:rsidRDefault="00B113B5" w:rsidP="00B113B5">
      <w:pPr>
        <w:rPr>
          <w:rFonts w:eastAsia="Arial"/>
          <w:color w:val="000000"/>
          <w:sz w:val="21"/>
          <w:szCs w:val="21"/>
        </w:rPr>
      </w:pPr>
      <w:r w:rsidRPr="00E078DA">
        <w:rPr>
          <w:rFonts w:eastAsia="Arial"/>
          <w:color w:val="000000"/>
          <w:sz w:val="21"/>
          <w:szCs w:val="21"/>
        </w:rPr>
        <w:t>CNS, central nervous system; MBC, metastatic breast cancer.</w:t>
      </w:r>
    </w:p>
    <w:p w14:paraId="45F63D32" w14:textId="77777777" w:rsidR="00ED3CD5" w:rsidRDefault="00ED3CD5" w:rsidP="009345A5"/>
    <w:p w14:paraId="1418B4EB" w14:textId="28D06959" w:rsidR="009345A5" w:rsidRDefault="00ED3CD5" w:rsidP="00ED3CD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b w:val="0"/>
          <w:bCs/>
          <w:i w:val="0"/>
          <w:iCs/>
        </w:rPr>
      </w:pPr>
      <w:r w:rsidRPr="00ED3CD5">
        <w:rPr>
          <w:b w:val="0"/>
          <w:bCs/>
          <w:i w:val="0"/>
          <w:iCs/>
        </w:rPr>
        <w:t>Targeted therapy was significantly more common in de novo compared to recurrent MBC (16% vs 2.8% p=0.018) (Table 3). There were no significant differences between the groups in terms of systemic treatment, chemotherapy, hormonal treatment, palliative radiotherapy, use of zoledronic acid, treatment delay, symptomatic response, radiological response, or adherence to treatment. (Table 3)</w:t>
      </w:r>
    </w:p>
    <w:p w14:paraId="1E198DFD" w14:textId="77777777" w:rsidR="00B113B5" w:rsidRDefault="00B113B5" w:rsidP="00B113B5">
      <w:pPr>
        <w:rPr>
          <w:b/>
          <w:bCs/>
        </w:rPr>
      </w:pPr>
      <w:r w:rsidRPr="008B58F8">
        <w:rPr>
          <w:b/>
          <w:bCs/>
        </w:rPr>
        <w:t>Table 3</w:t>
      </w:r>
      <w:r>
        <w:rPr>
          <w:b/>
          <w:bCs/>
        </w:rPr>
        <w:t xml:space="preserve">: </w:t>
      </w:r>
      <w:r w:rsidRPr="008B58F8">
        <w:rPr>
          <w:b/>
          <w:bCs/>
        </w:rPr>
        <w:t>Comparison of treatment patterns, treatment response, and adherence between patients with de novo and recurrent metastatic breast cancer (MBC)</w:t>
      </w:r>
    </w:p>
    <w:p w14:paraId="5568E06D" w14:textId="77777777" w:rsidR="00B113B5" w:rsidRDefault="00B113B5" w:rsidP="00B113B5">
      <w:pPr>
        <w:rPr>
          <w:b/>
          <w:bCs/>
        </w:rPr>
      </w:pPr>
    </w:p>
    <w:tbl>
      <w:tblPr>
        <w:tblStyle w:val="TableGrid"/>
        <w:tblW w:w="0" w:type="auto"/>
        <w:tblLayout w:type="fixed"/>
        <w:tblLook w:val="0420" w:firstRow="1" w:lastRow="0" w:firstColumn="0" w:lastColumn="0" w:noHBand="0" w:noVBand="1"/>
      </w:tblPr>
      <w:tblGrid>
        <w:gridCol w:w="2884"/>
        <w:gridCol w:w="1248"/>
        <w:gridCol w:w="1718"/>
        <w:gridCol w:w="1867"/>
        <w:gridCol w:w="1088"/>
      </w:tblGrid>
      <w:tr w:rsidR="00B113B5" w:rsidRPr="002A17B0" w14:paraId="473DE5F8" w14:textId="77777777" w:rsidTr="00B500CD">
        <w:trPr>
          <w:trHeight w:val="325"/>
        </w:trPr>
        <w:tc>
          <w:tcPr>
            <w:tcW w:w="4132" w:type="dxa"/>
            <w:gridSpan w:val="2"/>
          </w:tcPr>
          <w:p w14:paraId="3376944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rPr>
                <w:rFonts w:eastAsia="Arial"/>
                <w:color w:val="000000"/>
                <w:sz w:val="22"/>
                <w:szCs w:val="22"/>
              </w:rPr>
            </w:pPr>
            <w:r w:rsidRPr="002A17B0">
              <w:rPr>
                <w:rFonts w:eastAsia="Arial"/>
                <w:color w:val="000000"/>
                <w:sz w:val="22"/>
                <w:szCs w:val="22"/>
              </w:rPr>
              <w:t xml:space="preserve"> </w:t>
            </w:r>
          </w:p>
        </w:tc>
        <w:tc>
          <w:tcPr>
            <w:tcW w:w="3585" w:type="dxa"/>
            <w:gridSpan w:val="2"/>
          </w:tcPr>
          <w:p w14:paraId="672464F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MBC Type</w:t>
            </w:r>
          </w:p>
        </w:tc>
        <w:tc>
          <w:tcPr>
            <w:tcW w:w="1088" w:type="dxa"/>
          </w:tcPr>
          <w:p w14:paraId="7A41BEB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color w:val="000000"/>
                <w:sz w:val="22"/>
                <w:szCs w:val="22"/>
              </w:rPr>
              <w:t xml:space="preserve"> </w:t>
            </w:r>
          </w:p>
        </w:tc>
      </w:tr>
      <w:tr w:rsidR="00B113B5" w:rsidRPr="002A17B0" w14:paraId="45320C2C" w14:textId="77777777" w:rsidTr="00B500CD">
        <w:trPr>
          <w:trHeight w:val="588"/>
        </w:trPr>
        <w:tc>
          <w:tcPr>
            <w:tcW w:w="2884" w:type="dxa"/>
          </w:tcPr>
          <w:p w14:paraId="2CAC283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rPr>
                <w:rFonts w:eastAsia="Arial"/>
                <w:color w:val="000000"/>
                <w:sz w:val="22"/>
                <w:szCs w:val="22"/>
              </w:rPr>
            </w:pPr>
            <w:r w:rsidRPr="002A17B0">
              <w:rPr>
                <w:rFonts w:eastAsia="Arial"/>
                <w:b/>
                <w:color w:val="000000"/>
                <w:sz w:val="22"/>
                <w:szCs w:val="22"/>
              </w:rPr>
              <w:t>Treatment</w:t>
            </w:r>
          </w:p>
        </w:tc>
        <w:tc>
          <w:tcPr>
            <w:tcW w:w="1248" w:type="dxa"/>
          </w:tcPr>
          <w:p w14:paraId="638EDC7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Overall</w:t>
            </w:r>
            <w:r w:rsidRPr="002A17B0">
              <w:rPr>
                <w:rFonts w:eastAsia="Arial"/>
                <w:color w:val="000000"/>
                <w:sz w:val="22"/>
                <w:szCs w:val="22"/>
              </w:rPr>
              <w:t xml:space="preserve">  </w:t>
            </w:r>
            <w:r w:rsidRPr="002A17B0">
              <w:rPr>
                <w:rFonts w:eastAsia="Arial"/>
                <w:color w:val="000000"/>
                <w:sz w:val="22"/>
                <w:szCs w:val="22"/>
              </w:rPr>
              <w:br/>
              <w:t>N = 135</w:t>
            </w:r>
          </w:p>
        </w:tc>
        <w:tc>
          <w:tcPr>
            <w:tcW w:w="1718" w:type="dxa"/>
          </w:tcPr>
          <w:p w14:paraId="7AAD3E1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De novo MBC</w:t>
            </w:r>
            <w:r w:rsidRPr="002A17B0">
              <w:rPr>
                <w:rFonts w:eastAsia="Arial"/>
                <w:color w:val="000000"/>
                <w:sz w:val="22"/>
                <w:szCs w:val="22"/>
              </w:rPr>
              <w:t xml:space="preserve">  </w:t>
            </w:r>
            <w:r w:rsidRPr="002A17B0">
              <w:rPr>
                <w:rFonts w:eastAsia="Arial"/>
                <w:color w:val="000000"/>
                <w:sz w:val="22"/>
                <w:szCs w:val="22"/>
              </w:rPr>
              <w:br/>
              <w:t>N = 63</w:t>
            </w:r>
          </w:p>
        </w:tc>
        <w:tc>
          <w:tcPr>
            <w:tcW w:w="1867" w:type="dxa"/>
          </w:tcPr>
          <w:p w14:paraId="6334B9C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Recurrent MBC</w:t>
            </w:r>
            <w:r w:rsidRPr="002A17B0">
              <w:rPr>
                <w:rFonts w:eastAsia="Arial"/>
                <w:color w:val="000000"/>
                <w:sz w:val="22"/>
                <w:szCs w:val="22"/>
              </w:rPr>
              <w:t xml:space="preserve">  </w:t>
            </w:r>
            <w:r w:rsidRPr="002A17B0">
              <w:rPr>
                <w:rFonts w:eastAsia="Arial"/>
                <w:color w:val="000000"/>
                <w:sz w:val="22"/>
                <w:szCs w:val="22"/>
              </w:rPr>
              <w:br/>
              <w:t>N = 72</w:t>
            </w:r>
          </w:p>
        </w:tc>
        <w:tc>
          <w:tcPr>
            <w:tcW w:w="1088" w:type="dxa"/>
          </w:tcPr>
          <w:p w14:paraId="78C8AA1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p-value</w:t>
            </w:r>
          </w:p>
        </w:tc>
      </w:tr>
      <w:tr w:rsidR="00B113B5" w:rsidRPr="002A17B0" w14:paraId="5608C6F5" w14:textId="77777777" w:rsidTr="00B500CD">
        <w:trPr>
          <w:trHeight w:val="713"/>
        </w:trPr>
        <w:tc>
          <w:tcPr>
            <w:tcW w:w="2884" w:type="dxa"/>
          </w:tcPr>
          <w:p w14:paraId="2C09C95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Any systemic treatment</w:t>
            </w:r>
          </w:p>
        </w:tc>
        <w:tc>
          <w:tcPr>
            <w:tcW w:w="1248" w:type="dxa"/>
          </w:tcPr>
          <w:p w14:paraId="0E7D711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131 (97%)</w:t>
            </w:r>
          </w:p>
        </w:tc>
        <w:tc>
          <w:tcPr>
            <w:tcW w:w="1718" w:type="dxa"/>
          </w:tcPr>
          <w:p w14:paraId="7D681D1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62 (98%)</w:t>
            </w:r>
          </w:p>
        </w:tc>
        <w:tc>
          <w:tcPr>
            <w:tcW w:w="1867" w:type="dxa"/>
          </w:tcPr>
          <w:p w14:paraId="1E314C8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69 (96%)</w:t>
            </w:r>
          </w:p>
        </w:tc>
        <w:tc>
          <w:tcPr>
            <w:tcW w:w="1088" w:type="dxa"/>
          </w:tcPr>
          <w:p w14:paraId="6452C2D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0.709</w:t>
            </w:r>
          </w:p>
        </w:tc>
      </w:tr>
      <w:tr w:rsidR="00B113B5" w:rsidRPr="002A17B0" w14:paraId="6516FCCF" w14:textId="77777777" w:rsidTr="00B500CD">
        <w:trPr>
          <w:trHeight w:val="713"/>
        </w:trPr>
        <w:tc>
          <w:tcPr>
            <w:tcW w:w="2884" w:type="dxa"/>
          </w:tcPr>
          <w:p w14:paraId="29C5889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lastRenderedPageBreak/>
              <w:t>Chemotherapy</w:t>
            </w:r>
          </w:p>
        </w:tc>
        <w:tc>
          <w:tcPr>
            <w:tcW w:w="1248" w:type="dxa"/>
          </w:tcPr>
          <w:p w14:paraId="1A15A55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125 (93%)</w:t>
            </w:r>
          </w:p>
        </w:tc>
        <w:tc>
          <w:tcPr>
            <w:tcW w:w="1718" w:type="dxa"/>
          </w:tcPr>
          <w:p w14:paraId="4B74624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59 (94%)</w:t>
            </w:r>
          </w:p>
        </w:tc>
        <w:tc>
          <w:tcPr>
            <w:tcW w:w="1867" w:type="dxa"/>
          </w:tcPr>
          <w:p w14:paraId="4AEA302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66 (92%)</w:t>
            </w:r>
          </w:p>
        </w:tc>
        <w:tc>
          <w:tcPr>
            <w:tcW w:w="1088" w:type="dxa"/>
          </w:tcPr>
          <w:p w14:paraId="1547230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0.913</w:t>
            </w:r>
          </w:p>
        </w:tc>
      </w:tr>
      <w:tr w:rsidR="00B113B5" w:rsidRPr="002A17B0" w14:paraId="44367BD0" w14:textId="77777777" w:rsidTr="00B500CD">
        <w:trPr>
          <w:trHeight w:val="449"/>
        </w:trPr>
        <w:tc>
          <w:tcPr>
            <w:tcW w:w="2884" w:type="dxa"/>
          </w:tcPr>
          <w:p w14:paraId="3DED7F6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Hormonal therapy</w:t>
            </w:r>
          </w:p>
        </w:tc>
        <w:tc>
          <w:tcPr>
            <w:tcW w:w="1248" w:type="dxa"/>
          </w:tcPr>
          <w:p w14:paraId="5B3E0D2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20 (15%)</w:t>
            </w:r>
          </w:p>
        </w:tc>
        <w:tc>
          <w:tcPr>
            <w:tcW w:w="1718" w:type="dxa"/>
          </w:tcPr>
          <w:p w14:paraId="768A7BF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12 (19%)</w:t>
            </w:r>
          </w:p>
        </w:tc>
        <w:tc>
          <w:tcPr>
            <w:tcW w:w="1867" w:type="dxa"/>
          </w:tcPr>
          <w:p w14:paraId="39C359F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 (11%)</w:t>
            </w:r>
          </w:p>
        </w:tc>
        <w:tc>
          <w:tcPr>
            <w:tcW w:w="1088" w:type="dxa"/>
          </w:tcPr>
          <w:p w14:paraId="165E8C3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0.293</w:t>
            </w:r>
          </w:p>
        </w:tc>
      </w:tr>
      <w:tr w:rsidR="00B113B5" w:rsidRPr="002A17B0" w14:paraId="4F6AE718" w14:textId="77777777" w:rsidTr="00B500CD">
        <w:trPr>
          <w:trHeight w:val="449"/>
        </w:trPr>
        <w:tc>
          <w:tcPr>
            <w:tcW w:w="2884" w:type="dxa"/>
          </w:tcPr>
          <w:p w14:paraId="7938C63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Targeted therapy</w:t>
            </w:r>
          </w:p>
        </w:tc>
        <w:tc>
          <w:tcPr>
            <w:tcW w:w="1248" w:type="dxa"/>
          </w:tcPr>
          <w:p w14:paraId="1219C65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12 (8.9%)</w:t>
            </w:r>
          </w:p>
        </w:tc>
        <w:tc>
          <w:tcPr>
            <w:tcW w:w="1718" w:type="dxa"/>
          </w:tcPr>
          <w:p w14:paraId="01D9AEB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10 (16%)</w:t>
            </w:r>
          </w:p>
        </w:tc>
        <w:tc>
          <w:tcPr>
            <w:tcW w:w="1867" w:type="dxa"/>
          </w:tcPr>
          <w:p w14:paraId="1710C9E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 (2.8%)</w:t>
            </w:r>
          </w:p>
        </w:tc>
        <w:tc>
          <w:tcPr>
            <w:tcW w:w="1088" w:type="dxa"/>
          </w:tcPr>
          <w:p w14:paraId="7A1D419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0.018</w:t>
            </w:r>
          </w:p>
        </w:tc>
      </w:tr>
      <w:tr w:rsidR="00B113B5" w:rsidRPr="002A17B0" w14:paraId="60ADE712" w14:textId="77777777" w:rsidTr="00B500CD">
        <w:trPr>
          <w:trHeight w:val="449"/>
        </w:trPr>
        <w:tc>
          <w:tcPr>
            <w:tcW w:w="2884" w:type="dxa"/>
          </w:tcPr>
          <w:p w14:paraId="5330737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Palliative radiotherapy</w:t>
            </w:r>
          </w:p>
        </w:tc>
        <w:tc>
          <w:tcPr>
            <w:tcW w:w="1248" w:type="dxa"/>
          </w:tcPr>
          <w:p w14:paraId="04C962D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13 (9.6%)</w:t>
            </w:r>
          </w:p>
        </w:tc>
        <w:tc>
          <w:tcPr>
            <w:tcW w:w="1718" w:type="dxa"/>
          </w:tcPr>
          <w:p w14:paraId="3CE25D3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 (7.9%)</w:t>
            </w:r>
          </w:p>
        </w:tc>
        <w:tc>
          <w:tcPr>
            <w:tcW w:w="1867" w:type="dxa"/>
          </w:tcPr>
          <w:p w14:paraId="531F429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 (11%)</w:t>
            </w:r>
          </w:p>
        </w:tc>
        <w:tc>
          <w:tcPr>
            <w:tcW w:w="1088" w:type="dxa"/>
          </w:tcPr>
          <w:p w14:paraId="714AE13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0.740</w:t>
            </w:r>
          </w:p>
        </w:tc>
      </w:tr>
      <w:tr w:rsidR="00B113B5" w:rsidRPr="002A17B0" w14:paraId="0AB8C6BD" w14:textId="77777777" w:rsidTr="00B500CD">
        <w:trPr>
          <w:trHeight w:val="449"/>
        </w:trPr>
        <w:tc>
          <w:tcPr>
            <w:tcW w:w="2884" w:type="dxa"/>
          </w:tcPr>
          <w:p w14:paraId="0A86885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Zoledronic acid</w:t>
            </w:r>
          </w:p>
        </w:tc>
        <w:tc>
          <w:tcPr>
            <w:tcW w:w="1248" w:type="dxa"/>
          </w:tcPr>
          <w:p w14:paraId="662838A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50 (37%)</w:t>
            </w:r>
          </w:p>
        </w:tc>
        <w:tc>
          <w:tcPr>
            <w:tcW w:w="1718" w:type="dxa"/>
          </w:tcPr>
          <w:p w14:paraId="3013605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28 (44%)</w:t>
            </w:r>
          </w:p>
        </w:tc>
        <w:tc>
          <w:tcPr>
            <w:tcW w:w="1867" w:type="dxa"/>
          </w:tcPr>
          <w:p w14:paraId="7263265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22 (31%)</w:t>
            </w:r>
          </w:p>
        </w:tc>
        <w:tc>
          <w:tcPr>
            <w:tcW w:w="1088" w:type="dxa"/>
          </w:tcPr>
          <w:p w14:paraId="60C1ED4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0.137</w:t>
            </w:r>
          </w:p>
        </w:tc>
      </w:tr>
      <w:tr w:rsidR="00B113B5" w:rsidRPr="002A17B0" w14:paraId="39BD916E" w14:textId="77777777" w:rsidTr="00B500CD">
        <w:trPr>
          <w:trHeight w:val="713"/>
        </w:trPr>
        <w:tc>
          <w:tcPr>
            <w:tcW w:w="2884" w:type="dxa"/>
          </w:tcPr>
          <w:p w14:paraId="6DAD037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Delay in treatment initiation</w:t>
            </w:r>
          </w:p>
        </w:tc>
        <w:tc>
          <w:tcPr>
            <w:tcW w:w="1248" w:type="dxa"/>
          </w:tcPr>
          <w:p w14:paraId="216BF9E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718" w:type="dxa"/>
          </w:tcPr>
          <w:p w14:paraId="465DDF0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867" w:type="dxa"/>
          </w:tcPr>
          <w:p w14:paraId="1A4171B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088" w:type="dxa"/>
          </w:tcPr>
          <w:p w14:paraId="5BB494C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0.668</w:t>
            </w:r>
          </w:p>
        </w:tc>
      </w:tr>
      <w:tr w:rsidR="00B113B5" w:rsidRPr="002A17B0" w14:paraId="13F5AFED" w14:textId="77777777" w:rsidTr="00B500CD">
        <w:trPr>
          <w:trHeight w:val="449"/>
        </w:trPr>
        <w:tc>
          <w:tcPr>
            <w:tcW w:w="2884" w:type="dxa"/>
          </w:tcPr>
          <w:p w14:paraId="388106B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Yes</w:t>
            </w:r>
          </w:p>
        </w:tc>
        <w:tc>
          <w:tcPr>
            <w:tcW w:w="1248" w:type="dxa"/>
          </w:tcPr>
          <w:p w14:paraId="48EABD6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56 (41%)</w:t>
            </w:r>
          </w:p>
        </w:tc>
        <w:tc>
          <w:tcPr>
            <w:tcW w:w="1718" w:type="dxa"/>
          </w:tcPr>
          <w:p w14:paraId="70719B2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27 (43%)</w:t>
            </w:r>
          </w:p>
        </w:tc>
        <w:tc>
          <w:tcPr>
            <w:tcW w:w="1867" w:type="dxa"/>
          </w:tcPr>
          <w:p w14:paraId="5159BC2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29 (40%)</w:t>
            </w:r>
          </w:p>
        </w:tc>
        <w:tc>
          <w:tcPr>
            <w:tcW w:w="1088" w:type="dxa"/>
          </w:tcPr>
          <w:p w14:paraId="7A93D23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2AB4267B" w14:textId="77777777" w:rsidTr="00B500CD">
        <w:trPr>
          <w:trHeight w:val="449"/>
        </w:trPr>
        <w:tc>
          <w:tcPr>
            <w:tcW w:w="2884" w:type="dxa"/>
          </w:tcPr>
          <w:p w14:paraId="536AE64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No</w:t>
            </w:r>
          </w:p>
        </w:tc>
        <w:tc>
          <w:tcPr>
            <w:tcW w:w="1248" w:type="dxa"/>
          </w:tcPr>
          <w:p w14:paraId="4711CB3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75 (56%)</w:t>
            </w:r>
          </w:p>
        </w:tc>
        <w:tc>
          <w:tcPr>
            <w:tcW w:w="1718" w:type="dxa"/>
          </w:tcPr>
          <w:p w14:paraId="10AE2CD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35 (56%)</w:t>
            </w:r>
          </w:p>
        </w:tc>
        <w:tc>
          <w:tcPr>
            <w:tcW w:w="1867" w:type="dxa"/>
          </w:tcPr>
          <w:p w14:paraId="04FAF38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40 (56%)</w:t>
            </w:r>
          </w:p>
        </w:tc>
        <w:tc>
          <w:tcPr>
            <w:tcW w:w="1088" w:type="dxa"/>
          </w:tcPr>
          <w:p w14:paraId="2A5C1C3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610524C0" w14:textId="77777777" w:rsidTr="00B500CD">
        <w:trPr>
          <w:trHeight w:val="449"/>
        </w:trPr>
        <w:tc>
          <w:tcPr>
            <w:tcW w:w="2884" w:type="dxa"/>
          </w:tcPr>
          <w:p w14:paraId="5C34F9C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Unknown</w:t>
            </w:r>
          </w:p>
        </w:tc>
        <w:tc>
          <w:tcPr>
            <w:tcW w:w="1248" w:type="dxa"/>
          </w:tcPr>
          <w:p w14:paraId="775E160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4 (3.0%)</w:t>
            </w:r>
          </w:p>
        </w:tc>
        <w:tc>
          <w:tcPr>
            <w:tcW w:w="1718" w:type="dxa"/>
          </w:tcPr>
          <w:p w14:paraId="6F7F541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 (1.6%)</w:t>
            </w:r>
          </w:p>
        </w:tc>
        <w:tc>
          <w:tcPr>
            <w:tcW w:w="1867" w:type="dxa"/>
          </w:tcPr>
          <w:p w14:paraId="02C90E6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 (4.2%)</w:t>
            </w:r>
          </w:p>
        </w:tc>
        <w:tc>
          <w:tcPr>
            <w:tcW w:w="1088" w:type="dxa"/>
          </w:tcPr>
          <w:p w14:paraId="763B6E5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0F2BA2DF" w14:textId="77777777" w:rsidTr="00B500CD">
        <w:trPr>
          <w:trHeight w:val="465"/>
        </w:trPr>
        <w:tc>
          <w:tcPr>
            <w:tcW w:w="2884" w:type="dxa"/>
          </w:tcPr>
          <w:p w14:paraId="1D5FB10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Symptomatic response</w:t>
            </w:r>
          </w:p>
        </w:tc>
        <w:tc>
          <w:tcPr>
            <w:tcW w:w="1248" w:type="dxa"/>
          </w:tcPr>
          <w:p w14:paraId="7B17BDE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718" w:type="dxa"/>
          </w:tcPr>
          <w:p w14:paraId="58DDF92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867" w:type="dxa"/>
          </w:tcPr>
          <w:p w14:paraId="56AC0EB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088" w:type="dxa"/>
          </w:tcPr>
          <w:p w14:paraId="21BDF34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0.511</w:t>
            </w:r>
          </w:p>
        </w:tc>
      </w:tr>
      <w:tr w:rsidR="00B113B5" w:rsidRPr="002A17B0" w14:paraId="295B060F" w14:textId="77777777" w:rsidTr="00B500CD">
        <w:trPr>
          <w:trHeight w:val="449"/>
        </w:trPr>
        <w:tc>
          <w:tcPr>
            <w:tcW w:w="2884" w:type="dxa"/>
          </w:tcPr>
          <w:p w14:paraId="18140CF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Adequate</w:t>
            </w:r>
          </w:p>
        </w:tc>
        <w:tc>
          <w:tcPr>
            <w:tcW w:w="1248" w:type="dxa"/>
          </w:tcPr>
          <w:p w14:paraId="544161C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81 (63%)</w:t>
            </w:r>
          </w:p>
        </w:tc>
        <w:tc>
          <w:tcPr>
            <w:tcW w:w="1718" w:type="dxa"/>
          </w:tcPr>
          <w:p w14:paraId="6B50DC2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36 (59%)</w:t>
            </w:r>
          </w:p>
        </w:tc>
        <w:tc>
          <w:tcPr>
            <w:tcW w:w="1867" w:type="dxa"/>
          </w:tcPr>
          <w:p w14:paraId="181B456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45 (66%)</w:t>
            </w:r>
          </w:p>
        </w:tc>
        <w:tc>
          <w:tcPr>
            <w:tcW w:w="1088" w:type="dxa"/>
          </w:tcPr>
          <w:p w14:paraId="6942238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1E88D8F5" w14:textId="77777777" w:rsidTr="00B500CD">
        <w:trPr>
          <w:trHeight w:val="449"/>
        </w:trPr>
        <w:tc>
          <w:tcPr>
            <w:tcW w:w="2884" w:type="dxa"/>
          </w:tcPr>
          <w:p w14:paraId="2404308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Inadequate</w:t>
            </w:r>
          </w:p>
        </w:tc>
        <w:tc>
          <w:tcPr>
            <w:tcW w:w="1248" w:type="dxa"/>
          </w:tcPr>
          <w:p w14:paraId="4FC5DAD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48 (37%)</w:t>
            </w:r>
          </w:p>
        </w:tc>
        <w:tc>
          <w:tcPr>
            <w:tcW w:w="1718" w:type="dxa"/>
          </w:tcPr>
          <w:p w14:paraId="746A693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25 (41%)</w:t>
            </w:r>
          </w:p>
        </w:tc>
        <w:tc>
          <w:tcPr>
            <w:tcW w:w="1867" w:type="dxa"/>
          </w:tcPr>
          <w:p w14:paraId="3153326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23 (34%)</w:t>
            </w:r>
          </w:p>
        </w:tc>
        <w:tc>
          <w:tcPr>
            <w:tcW w:w="1088" w:type="dxa"/>
          </w:tcPr>
          <w:p w14:paraId="5FC187F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45B7767E" w14:textId="77777777" w:rsidTr="00B500CD">
        <w:trPr>
          <w:trHeight w:val="449"/>
        </w:trPr>
        <w:tc>
          <w:tcPr>
            <w:tcW w:w="2884" w:type="dxa"/>
          </w:tcPr>
          <w:p w14:paraId="02F7EF8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Radiological response</w:t>
            </w:r>
          </w:p>
        </w:tc>
        <w:tc>
          <w:tcPr>
            <w:tcW w:w="1248" w:type="dxa"/>
          </w:tcPr>
          <w:p w14:paraId="7CAC83D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718" w:type="dxa"/>
          </w:tcPr>
          <w:p w14:paraId="014B276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867" w:type="dxa"/>
          </w:tcPr>
          <w:p w14:paraId="3B345A4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088" w:type="dxa"/>
          </w:tcPr>
          <w:p w14:paraId="62788C9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0.457</w:t>
            </w:r>
          </w:p>
        </w:tc>
      </w:tr>
      <w:tr w:rsidR="00B113B5" w:rsidRPr="002A17B0" w14:paraId="35E330E6" w14:textId="77777777" w:rsidTr="00B500CD">
        <w:trPr>
          <w:trHeight w:val="465"/>
        </w:trPr>
        <w:tc>
          <w:tcPr>
            <w:tcW w:w="2884" w:type="dxa"/>
          </w:tcPr>
          <w:p w14:paraId="2A49AB9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Stable</w:t>
            </w:r>
          </w:p>
        </w:tc>
        <w:tc>
          <w:tcPr>
            <w:tcW w:w="1248" w:type="dxa"/>
          </w:tcPr>
          <w:p w14:paraId="6748CEA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55 (41%)</w:t>
            </w:r>
          </w:p>
        </w:tc>
        <w:tc>
          <w:tcPr>
            <w:tcW w:w="1718" w:type="dxa"/>
          </w:tcPr>
          <w:p w14:paraId="6F2D57E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24 (38%)</w:t>
            </w:r>
          </w:p>
        </w:tc>
        <w:tc>
          <w:tcPr>
            <w:tcW w:w="1867" w:type="dxa"/>
          </w:tcPr>
          <w:p w14:paraId="3992145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31 (43%)</w:t>
            </w:r>
          </w:p>
        </w:tc>
        <w:tc>
          <w:tcPr>
            <w:tcW w:w="1088" w:type="dxa"/>
          </w:tcPr>
          <w:p w14:paraId="3422CB6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65CD1A2F" w14:textId="77777777" w:rsidTr="00B500CD">
        <w:trPr>
          <w:trHeight w:val="449"/>
        </w:trPr>
        <w:tc>
          <w:tcPr>
            <w:tcW w:w="2884" w:type="dxa"/>
          </w:tcPr>
          <w:p w14:paraId="67D7BDA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Progressive disease</w:t>
            </w:r>
          </w:p>
        </w:tc>
        <w:tc>
          <w:tcPr>
            <w:tcW w:w="1248" w:type="dxa"/>
          </w:tcPr>
          <w:p w14:paraId="5A9357D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50 (37%)</w:t>
            </w:r>
          </w:p>
        </w:tc>
        <w:tc>
          <w:tcPr>
            <w:tcW w:w="1718" w:type="dxa"/>
          </w:tcPr>
          <w:p w14:paraId="619D47A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25 (40%)</w:t>
            </w:r>
          </w:p>
        </w:tc>
        <w:tc>
          <w:tcPr>
            <w:tcW w:w="1867" w:type="dxa"/>
          </w:tcPr>
          <w:p w14:paraId="69D2406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25 (35%)</w:t>
            </w:r>
          </w:p>
        </w:tc>
        <w:tc>
          <w:tcPr>
            <w:tcW w:w="1088" w:type="dxa"/>
          </w:tcPr>
          <w:p w14:paraId="41FEC4B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1BE19416" w14:textId="77777777" w:rsidTr="00B500CD">
        <w:trPr>
          <w:trHeight w:val="449"/>
        </w:trPr>
        <w:tc>
          <w:tcPr>
            <w:tcW w:w="2884" w:type="dxa"/>
          </w:tcPr>
          <w:p w14:paraId="0872736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Partial response</w:t>
            </w:r>
          </w:p>
        </w:tc>
        <w:tc>
          <w:tcPr>
            <w:tcW w:w="1248" w:type="dxa"/>
          </w:tcPr>
          <w:p w14:paraId="29C16F8A"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16 (12%)</w:t>
            </w:r>
          </w:p>
        </w:tc>
        <w:tc>
          <w:tcPr>
            <w:tcW w:w="1718" w:type="dxa"/>
          </w:tcPr>
          <w:p w14:paraId="7CE0BB0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 (13%)</w:t>
            </w:r>
          </w:p>
        </w:tc>
        <w:tc>
          <w:tcPr>
            <w:tcW w:w="1867" w:type="dxa"/>
          </w:tcPr>
          <w:p w14:paraId="5474CB3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 (11%)</w:t>
            </w:r>
          </w:p>
        </w:tc>
        <w:tc>
          <w:tcPr>
            <w:tcW w:w="1088" w:type="dxa"/>
          </w:tcPr>
          <w:p w14:paraId="1FA519F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129DD5D0" w14:textId="77777777" w:rsidTr="00B500CD">
        <w:trPr>
          <w:trHeight w:val="449"/>
        </w:trPr>
        <w:tc>
          <w:tcPr>
            <w:tcW w:w="2884" w:type="dxa"/>
          </w:tcPr>
          <w:p w14:paraId="37FADFC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Complete response</w:t>
            </w:r>
          </w:p>
        </w:tc>
        <w:tc>
          <w:tcPr>
            <w:tcW w:w="1248" w:type="dxa"/>
          </w:tcPr>
          <w:p w14:paraId="2E68336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12 (8.9%)</w:t>
            </w:r>
          </w:p>
        </w:tc>
        <w:tc>
          <w:tcPr>
            <w:tcW w:w="1718" w:type="dxa"/>
          </w:tcPr>
          <w:p w14:paraId="6E87F8C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4 (6.3%)</w:t>
            </w:r>
          </w:p>
        </w:tc>
        <w:tc>
          <w:tcPr>
            <w:tcW w:w="1867" w:type="dxa"/>
          </w:tcPr>
          <w:p w14:paraId="715F399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8 (11%)</w:t>
            </w:r>
          </w:p>
        </w:tc>
        <w:tc>
          <w:tcPr>
            <w:tcW w:w="1088" w:type="dxa"/>
          </w:tcPr>
          <w:p w14:paraId="6D312D2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231710AF" w14:textId="77777777" w:rsidTr="00B500CD">
        <w:trPr>
          <w:trHeight w:val="449"/>
        </w:trPr>
        <w:tc>
          <w:tcPr>
            <w:tcW w:w="2884" w:type="dxa"/>
          </w:tcPr>
          <w:p w14:paraId="4C20394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Unknown</w:t>
            </w:r>
          </w:p>
        </w:tc>
        <w:tc>
          <w:tcPr>
            <w:tcW w:w="1248" w:type="dxa"/>
          </w:tcPr>
          <w:p w14:paraId="0B42DCF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 (1.5%)</w:t>
            </w:r>
          </w:p>
        </w:tc>
        <w:tc>
          <w:tcPr>
            <w:tcW w:w="1718" w:type="dxa"/>
          </w:tcPr>
          <w:p w14:paraId="1F22FC9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 (3.2%)</w:t>
            </w:r>
          </w:p>
        </w:tc>
        <w:tc>
          <w:tcPr>
            <w:tcW w:w="1867" w:type="dxa"/>
          </w:tcPr>
          <w:p w14:paraId="1C40198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0 (0%)</w:t>
            </w:r>
          </w:p>
        </w:tc>
        <w:tc>
          <w:tcPr>
            <w:tcW w:w="1088" w:type="dxa"/>
          </w:tcPr>
          <w:p w14:paraId="6220E5A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3DF31C3E" w14:textId="77777777" w:rsidTr="00B500CD">
        <w:trPr>
          <w:trHeight w:val="465"/>
        </w:trPr>
        <w:tc>
          <w:tcPr>
            <w:tcW w:w="2884" w:type="dxa"/>
          </w:tcPr>
          <w:p w14:paraId="46E7DB5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Treatment adherence</w:t>
            </w:r>
          </w:p>
        </w:tc>
        <w:tc>
          <w:tcPr>
            <w:tcW w:w="1248" w:type="dxa"/>
          </w:tcPr>
          <w:p w14:paraId="47D5B92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718" w:type="dxa"/>
          </w:tcPr>
          <w:p w14:paraId="6D2CB0E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867" w:type="dxa"/>
          </w:tcPr>
          <w:p w14:paraId="668BA6C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088" w:type="dxa"/>
          </w:tcPr>
          <w:p w14:paraId="1689C26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&gt;0.999</w:t>
            </w:r>
          </w:p>
        </w:tc>
      </w:tr>
      <w:tr w:rsidR="00B113B5" w:rsidRPr="002A17B0" w14:paraId="24E3A168" w14:textId="77777777" w:rsidTr="00B500CD">
        <w:trPr>
          <w:trHeight w:val="449"/>
        </w:trPr>
        <w:tc>
          <w:tcPr>
            <w:tcW w:w="2884" w:type="dxa"/>
          </w:tcPr>
          <w:p w14:paraId="328F4CEB"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Non-Adherent</w:t>
            </w:r>
          </w:p>
        </w:tc>
        <w:tc>
          <w:tcPr>
            <w:tcW w:w="1248" w:type="dxa"/>
          </w:tcPr>
          <w:p w14:paraId="3E869768"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62 (46%)</w:t>
            </w:r>
          </w:p>
        </w:tc>
        <w:tc>
          <w:tcPr>
            <w:tcW w:w="1718" w:type="dxa"/>
          </w:tcPr>
          <w:p w14:paraId="4C6B47E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29 (46%)</w:t>
            </w:r>
          </w:p>
        </w:tc>
        <w:tc>
          <w:tcPr>
            <w:tcW w:w="1867" w:type="dxa"/>
          </w:tcPr>
          <w:p w14:paraId="4AB30C1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33 (46%)</w:t>
            </w:r>
          </w:p>
        </w:tc>
        <w:tc>
          <w:tcPr>
            <w:tcW w:w="1088" w:type="dxa"/>
          </w:tcPr>
          <w:p w14:paraId="51E3A2A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3AFC6B46" w14:textId="77777777" w:rsidTr="00B500CD">
        <w:trPr>
          <w:trHeight w:val="449"/>
        </w:trPr>
        <w:tc>
          <w:tcPr>
            <w:tcW w:w="2884" w:type="dxa"/>
          </w:tcPr>
          <w:p w14:paraId="4BB3EA3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Adherent</w:t>
            </w:r>
          </w:p>
        </w:tc>
        <w:tc>
          <w:tcPr>
            <w:tcW w:w="1248" w:type="dxa"/>
          </w:tcPr>
          <w:p w14:paraId="502D659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72 (54%)</w:t>
            </w:r>
          </w:p>
        </w:tc>
        <w:tc>
          <w:tcPr>
            <w:tcW w:w="1718" w:type="dxa"/>
          </w:tcPr>
          <w:p w14:paraId="789E7C3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34 (54%)</w:t>
            </w:r>
          </w:p>
        </w:tc>
        <w:tc>
          <w:tcPr>
            <w:tcW w:w="1867" w:type="dxa"/>
          </w:tcPr>
          <w:p w14:paraId="73100C3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A17B0">
              <w:rPr>
                <w:rFonts w:eastAsia="Arial"/>
                <w:color w:val="000000"/>
                <w:sz w:val="22"/>
                <w:szCs w:val="22"/>
              </w:rPr>
              <w:t>38 (54%)</w:t>
            </w:r>
          </w:p>
        </w:tc>
        <w:tc>
          <w:tcPr>
            <w:tcW w:w="1088" w:type="dxa"/>
          </w:tcPr>
          <w:p w14:paraId="49B189B3"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688873CC" w14:textId="77777777" w:rsidTr="00B500CD">
        <w:trPr>
          <w:trHeight w:val="449"/>
        </w:trPr>
        <w:tc>
          <w:tcPr>
            <w:tcW w:w="8805" w:type="dxa"/>
            <w:gridSpan w:val="5"/>
          </w:tcPr>
          <w:p w14:paraId="00AC2EB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color w:val="000000"/>
                <w:sz w:val="22"/>
                <w:szCs w:val="22"/>
              </w:rPr>
            </w:pPr>
            <w:r w:rsidRPr="002A17B0">
              <w:rPr>
                <w:rFonts w:eastAsia="Arial"/>
                <w:color w:val="000000"/>
                <w:sz w:val="22"/>
                <w:szCs w:val="22"/>
              </w:rPr>
              <w:t>n (%)</w:t>
            </w:r>
          </w:p>
        </w:tc>
      </w:tr>
    </w:tbl>
    <w:p w14:paraId="55CF5318" w14:textId="77777777" w:rsidR="00B113B5" w:rsidRPr="00E078DA" w:rsidRDefault="00B113B5" w:rsidP="00B113B5">
      <w:pPr>
        <w:jc w:val="both"/>
        <w:rPr>
          <w:rFonts w:eastAsia="Arial"/>
          <w:color w:val="000000"/>
          <w:sz w:val="21"/>
          <w:szCs w:val="21"/>
        </w:rPr>
      </w:pPr>
      <w:r w:rsidRPr="00E078DA">
        <w:rPr>
          <w:rFonts w:eastAsia="Arial"/>
          <w:color w:val="000000"/>
          <w:sz w:val="21"/>
          <w:szCs w:val="21"/>
        </w:rPr>
        <w:t>Data are presented as n (%). P-values were calculated using Pearson’s chi-squared test or Fisher’s exact test, as appropriate.</w:t>
      </w:r>
    </w:p>
    <w:p w14:paraId="0DB399F0" w14:textId="77777777" w:rsidR="00B113B5" w:rsidRDefault="00B113B5" w:rsidP="00B113B5">
      <w:pPr>
        <w:jc w:val="both"/>
        <w:rPr>
          <w:rFonts w:eastAsia="Arial"/>
          <w:color w:val="000000"/>
          <w:sz w:val="21"/>
          <w:szCs w:val="21"/>
        </w:rPr>
      </w:pPr>
      <w:r w:rsidRPr="00E078DA">
        <w:rPr>
          <w:rFonts w:eastAsia="Arial"/>
          <w:color w:val="000000"/>
          <w:sz w:val="21"/>
          <w:szCs w:val="21"/>
        </w:rPr>
        <w:t>MBC, metastatic breast cancer.</w:t>
      </w:r>
    </w:p>
    <w:p w14:paraId="62290655" w14:textId="77777777" w:rsidR="00ED3CD5" w:rsidRPr="00ED3CD5" w:rsidRDefault="00ED3CD5" w:rsidP="00ED3CD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b w:val="0"/>
          <w:bCs/>
          <w:i w:val="0"/>
          <w:iCs/>
        </w:rPr>
      </w:pPr>
    </w:p>
    <w:p w14:paraId="00B930E6" w14:textId="41EB516C" w:rsidR="009345A5" w:rsidRPr="00ED3CD5" w:rsidRDefault="00ED3CD5" w:rsidP="00ED3CD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b w:val="0"/>
          <w:bCs/>
          <w:i w:val="0"/>
          <w:iCs/>
        </w:rPr>
      </w:pPr>
      <w:r w:rsidRPr="00ED3CD5">
        <w:rPr>
          <w:b w:val="0"/>
          <w:bCs/>
          <w:i w:val="0"/>
          <w:iCs/>
        </w:rPr>
        <w:t xml:space="preserve">Overall survival (OS) analyses of patients with de novo and recurrent metastatic breast cancer (MBC) are provided in Table 4. Recurrent MBC in the overall population had a significantly reduced unadjusted hazard of death compared to de novo MBC (HR 0.53, 95% CI 0.29–1.00; </w:t>
      </w:r>
      <w:r w:rsidRPr="00ED3CD5">
        <w:rPr>
          <w:b w:val="0"/>
          <w:bCs/>
          <w:i w:val="0"/>
          <w:iCs/>
        </w:rPr>
        <w:lastRenderedPageBreak/>
        <w:t>p = 0.049). When adjusted for various factors, the association became weaker and ceased to be significant (adjusted HR 0.47, 95% CI 0.22–1.03; p = 0.06). There were no significant differences in overall survival (OS) (unadjusted) between de novo and recurrent MBC for the molecular subtypes. (Table 4)</w:t>
      </w:r>
    </w:p>
    <w:p w14:paraId="5687454C" w14:textId="77777777" w:rsidR="00B113B5" w:rsidRDefault="00B113B5" w:rsidP="00B113B5">
      <w:pPr>
        <w:rPr>
          <w:b/>
          <w:bCs/>
        </w:rPr>
      </w:pPr>
      <w:r w:rsidRPr="008B58F8">
        <w:rPr>
          <w:b/>
          <w:bCs/>
        </w:rPr>
        <w:t>Table 4</w:t>
      </w:r>
      <w:r>
        <w:rPr>
          <w:b/>
          <w:bCs/>
        </w:rPr>
        <w:t xml:space="preserve">: </w:t>
      </w:r>
      <w:r w:rsidRPr="008B58F8">
        <w:rPr>
          <w:b/>
          <w:bCs/>
        </w:rPr>
        <w:t xml:space="preserve"> Overall survival and hazard ratios comparing patients with de novo and recurrent metastatic breast cancer, overall and according to clinical subtype</w:t>
      </w:r>
    </w:p>
    <w:p w14:paraId="1E7A53B2" w14:textId="77777777" w:rsidR="00B113B5" w:rsidRDefault="00B113B5" w:rsidP="00B113B5">
      <w:pPr>
        <w:rPr>
          <w:b/>
          <w:bCs/>
        </w:rPr>
      </w:pPr>
    </w:p>
    <w:tbl>
      <w:tblPr>
        <w:tblStyle w:val="TableGrid"/>
        <w:tblW w:w="9240" w:type="dxa"/>
        <w:tblLayout w:type="fixed"/>
        <w:tblLook w:val="0420" w:firstRow="1" w:lastRow="0" w:firstColumn="0" w:lastColumn="0" w:noHBand="0" w:noVBand="1"/>
      </w:tblPr>
      <w:tblGrid>
        <w:gridCol w:w="1260"/>
        <w:gridCol w:w="1221"/>
        <w:gridCol w:w="775"/>
        <w:gridCol w:w="1185"/>
        <w:gridCol w:w="1283"/>
        <w:gridCol w:w="1075"/>
        <w:gridCol w:w="1418"/>
        <w:gridCol w:w="1023"/>
      </w:tblGrid>
      <w:tr w:rsidR="00B113B5" w:rsidRPr="001044E1" w14:paraId="5356AB7A" w14:textId="77777777" w:rsidTr="00B500CD">
        <w:trPr>
          <w:trHeight w:val="463"/>
        </w:trPr>
        <w:tc>
          <w:tcPr>
            <w:tcW w:w="1260" w:type="dxa"/>
          </w:tcPr>
          <w:p w14:paraId="55E99A65"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bCs/>
                <w:sz w:val="22"/>
                <w:szCs w:val="22"/>
              </w:rPr>
            </w:pPr>
            <w:r w:rsidRPr="001044E1">
              <w:rPr>
                <w:rFonts w:eastAsia="Arial"/>
                <w:b/>
                <w:bCs/>
                <w:sz w:val="22"/>
                <w:szCs w:val="22"/>
              </w:rPr>
              <w:t>Clinical Subtype</w:t>
            </w:r>
          </w:p>
        </w:tc>
        <w:tc>
          <w:tcPr>
            <w:tcW w:w="1221" w:type="dxa"/>
          </w:tcPr>
          <w:p w14:paraId="7DD50083"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bCs/>
                <w:sz w:val="22"/>
                <w:szCs w:val="22"/>
              </w:rPr>
            </w:pPr>
            <w:r w:rsidRPr="001044E1">
              <w:rPr>
                <w:rFonts w:eastAsia="Arial"/>
                <w:b/>
                <w:bCs/>
                <w:sz w:val="22"/>
                <w:szCs w:val="22"/>
              </w:rPr>
              <w:t>Group</w:t>
            </w:r>
          </w:p>
        </w:tc>
        <w:tc>
          <w:tcPr>
            <w:tcW w:w="775" w:type="dxa"/>
          </w:tcPr>
          <w:p w14:paraId="6F818A0A"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b/>
                <w:bCs/>
                <w:sz w:val="22"/>
                <w:szCs w:val="22"/>
              </w:rPr>
            </w:pPr>
            <w:r w:rsidRPr="001044E1">
              <w:rPr>
                <w:rFonts w:eastAsia="Arial"/>
                <w:b/>
                <w:bCs/>
                <w:sz w:val="22"/>
                <w:szCs w:val="22"/>
              </w:rPr>
              <w:t>N</w:t>
            </w:r>
          </w:p>
        </w:tc>
        <w:tc>
          <w:tcPr>
            <w:tcW w:w="1185" w:type="dxa"/>
          </w:tcPr>
          <w:p w14:paraId="5799836A"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b/>
                <w:bCs/>
                <w:sz w:val="22"/>
                <w:szCs w:val="22"/>
              </w:rPr>
            </w:pPr>
            <w:r w:rsidRPr="001044E1">
              <w:rPr>
                <w:rFonts w:eastAsia="Arial"/>
                <w:b/>
                <w:bCs/>
                <w:sz w:val="22"/>
                <w:szCs w:val="22"/>
              </w:rPr>
              <w:t>Median OS (months)</w:t>
            </w:r>
          </w:p>
        </w:tc>
        <w:tc>
          <w:tcPr>
            <w:tcW w:w="1283" w:type="dxa"/>
          </w:tcPr>
          <w:p w14:paraId="375354FF"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bCs/>
                <w:sz w:val="22"/>
                <w:szCs w:val="22"/>
              </w:rPr>
            </w:pPr>
            <w:r w:rsidRPr="001044E1">
              <w:rPr>
                <w:rFonts w:eastAsia="Arial"/>
                <w:b/>
                <w:bCs/>
                <w:sz w:val="22"/>
                <w:szCs w:val="22"/>
              </w:rPr>
              <w:t>HR (unadjusted)</w:t>
            </w:r>
          </w:p>
        </w:tc>
        <w:tc>
          <w:tcPr>
            <w:tcW w:w="1075" w:type="dxa"/>
          </w:tcPr>
          <w:p w14:paraId="12F08C29"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bCs/>
                <w:sz w:val="22"/>
                <w:szCs w:val="22"/>
              </w:rPr>
            </w:pPr>
            <w:r w:rsidRPr="001044E1">
              <w:rPr>
                <w:rFonts w:eastAsia="Arial"/>
                <w:b/>
                <w:bCs/>
                <w:sz w:val="22"/>
                <w:szCs w:val="22"/>
              </w:rPr>
              <w:t>P (</w:t>
            </w:r>
            <w:proofErr w:type="spellStart"/>
            <w:r w:rsidRPr="001044E1">
              <w:rPr>
                <w:rFonts w:eastAsia="Arial"/>
                <w:b/>
                <w:bCs/>
                <w:sz w:val="22"/>
                <w:szCs w:val="22"/>
              </w:rPr>
              <w:t>unadj</w:t>
            </w:r>
            <w:proofErr w:type="spellEnd"/>
            <w:r w:rsidRPr="001044E1">
              <w:rPr>
                <w:rFonts w:eastAsia="Arial"/>
                <w:b/>
                <w:bCs/>
                <w:sz w:val="22"/>
                <w:szCs w:val="22"/>
              </w:rPr>
              <w:t>.)</w:t>
            </w:r>
          </w:p>
        </w:tc>
        <w:tc>
          <w:tcPr>
            <w:tcW w:w="1418" w:type="dxa"/>
          </w:tcPr>
          <w:p w14:paraId="313DCC59"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bCs/>
                <w:sz w:val="22"/>
                <w:szCs w:val="22"/>
              </w:rPr>
            </w:pPr>
            <w:r w:rsidRPr="001044E1">
              <w:rPr>
                <w:rFonts w:eastAsia="Arial"/>
                <w:b/>
                <w:bCs/>
                <w:sz w:val="22"/>
                <w:szCs w:val="22"/>
              </w:rPr>
              <w:t>HR (adjusted)</w:t>
            </w:r>
          </w:p>
        </w:tc>
        <w:tc>
          <w:tcPr>
            <w:tcW w:w="1023" w:type="dxa"/>
          </w:tcPr>
          <w:p w14:paraId="2AD548CD"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bCs/>
                <w:sz w:val="22"/>
                <w:szCs w:val="22"/>
              </w:rPr>
            </w:pPr>
            <w:r w:rsidRPr="001044E1">
              <w:rPr>
                <w:rFonts w:eastAsia="Arial"/>
                <w:b/>
                <w:bCs/>
                <w:sz w:val="22"/>
                <w:szCs w:val="22"/>
              </w:rPr>
              <w:t>P (adj.)</w:t>
            </w:r>
          </w:p>
        </w:tc>
      </w:tr>
      <w:tr w:rsidR="00B113B5" w:rsidRPr="001044E1" w14:paraId="36277EFA" w14:textId="77777777" w:rsidTr="00B500CD">
        <w:trPr>
          <w:trHeight w:val="447"/>
        </w:trPr>
        <w:tc>
          <w:tcPr>
            <w:tcW w:w="1260" w:type="dxa"/>
          </w:tcPr>
          <w:p w14:paraId="3EFD3A57"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sz w:val="22"/>
                <w:szCs w:val="22"/>
              </w:rPr>
            </w:pPr>
            <w:r w:rsidRPr="001044E1">
              <w:rPr>
                <w:rFonts w:eastAsia="Arial"/>
                <w:b/>
                <w:sz w:val="22"/>
                <w:szCs w:val="22"/>
              </w:rPr>
              <w:t>Overall</w:t>
            </w:r>
          </w:p>
        </w:tc>
        <w:tc>
          <w:tcPr>
            <w:tcW w:w="1221" w:type="dxa"/>
          </w:tcPr>
          <w:p w14:paraId="13B3FF57"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De novo MBC</w:t>
            </w:r>
          </w:p>
        </w:tc>
        <w:tc>
          <w:tcPr>
            <w:tcW w:w="775" w:type="dxa"/>
          </w:tcPr>
          <w:p w14:paraId="7B575703"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r w:rsidRPr="001044E1">
              <w:rPr>
                <w:rFonts w:eastAsia="Arial"/>
                <w:sz w:val="22"/>
                <w:szCs w:val="22"/>
              </w:rPr>
              <w:t>63</w:t>
            </w:r>
          </w:p>
        </w:tc>
        <w:tc>
          <w:tcPr>
            <w:tcW w:w="1185" w:type="dxa"/>
          </w:tcPr>
          <w:p w14:paraId="60B206F3"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p>
        </w:tc>
        <w:tc>
          <w:tcPr>
            <w:tcW w:w="1283" w:type="dxa"/>
          </w:tcPr>
          <w:p w14:paraId="28C171AB"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Reference</w:t>
            </w:r>
          </w:p>
        </w:tc>
        <w:tc>
          <w:tcPr>
            <w:tcW w:w="1075" w:type="dxa"/>
          </w:tcPr>
          <w:p w14:paraId="20327B59"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p>
        </w:tc>
        <w:tc>
          <w:tcPr>
            <w:tcW w:w="1418" w:type="dxa"/>
          </w:tcPr>
          <w:p w14:paraId="4BB2D116"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Reference</w:t>
            </w:r>
          </w:p>
        </w:tc>
        <w:tc>
          <w:tcPr>
            <w:tcW w:w="1023" w:type="dxa"/>
          </w:tcPr>
          <w:p w14:paraId="260C04F9"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p>
        </w:tc>
      </w:tr>
      <w:tr w:rsidR="00B113B5" w:rsidRPr="001044E1" w14:paraId="341AB43D" w14:textId="77777777" w:rsidTr="00B500CD">
        <w:trPr>
          <w:trHeight w:val="463"/>
        </w:trPr>
        <w:tc>
          <w:tcPr>
            <w:tcW w:w="1260" w:type="dxa"/>
          </w:tcPr>
          <w:p w14:paraId="243F1157"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sz w:val="22"/>
                <w:szCs w:val="22"/>
              </w:rPr>
            </w:pPr>
          </w:p>
        </w:tc>
        <w:tc>
          <w:tcPr>
            <w:tcW w:w="1221" w:type="dxa"/>
          </w:tcPr>
          <w:p w14:paraId="22890C40"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Recurrent MBC</w:t>
            </w:r>
          </w:p>
        </w:tc>
        <w:tc>
          <w:tcPr>
            <w:tcW w:w="775" w:type="dxa"/>
          </w:tcPr>
          <w:p w14:paraId="7EA7BE53"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r w:rsidRPr="001044E1">
              <w:rPr>
                <w:rFonts w:eastAsia="Arial"/>
                <w:sz w:val="22"/>
                <w:szCs w:val="22"/>
              </w:rPr>
              <w:t>72</w:t>
            </w:r>
          </w:p>
        </w:tc>
        <w:tc>
          <w:tcPr>
            <w:tcW w:w="1185" w:type="dxa"/>
          </w:tcPr>
          <w:p w14:paraId="043D7682"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p>
        </w:tc>
        <w:tc>
          <w:tcPr>
            <w:tcW w:w="1283" w:type="dxa"/>
          </w:tcPr>
          <w:p w14:paraId="44F8128C"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0.53 (0.29–1.00)</w:t>
            </w:r>
          </w:p>
        </w:tc>
        <w:tc>
          <w:tcPr>
            <w:tcW w:w="1075" w:type="dxa"/>
          </w:tcPr>
          <w:p w14:paraId="7BEC5CF9"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0.049</w:t>
            </w:r>
          </w:p>
        </w:tc>
        <w:tc>
          <w:tcPr>
            <w:tcW w:w="1418" w:type="dxa"/>
          </w:tcPr>
          <w:p w14:paraId="35B7ADAD"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0.47</w:t>
            </w:r>
          </w:p>
          <w:p w14:paraId="628E8B01"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(0.22–1.03)</w:t>
            </w:r>
          </w:p>
        </w:tc>
        <w:tc>
          <w:tcPr>
            <w:tcW w:w="1023" w:type="dxa"/>
            <w:vAlign w:val="center"/>
          </w:tcPr>
          <w:p w14:paraId="1177984E"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0.06</w:t>
            </w:r>
          </w:p>
        </w:tc>
      </w:tr>
      <w:tr w:rsidR="00B113B5" w:rsidRPr="001044E1" w14:paraId="6E8B0C60" w14:textId="77777777" w:rsidTr="00B500CD">
        <w:trPr>
          <w:trHeight w:val="447"/>
        </w:trPr>
        <w:tc>
          <w:tcPr>
            <w:tcW w:w="1260" w:type="dxa"/>
          </w:tcPr>
          <w:p w14:paraId="7F816212"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sz w:val="22"/>
                <w:szCs w:val="22"/>
              </w:rPr>
            </w:pPr>
            <w:r w:rsidRPr="001044E1">
              <w:rPr>
                <w:rFonts w:eastAsia="Arial"/>
                <w:b/>
                <w:sz w:val="22"/>
                <w:szCs w:val="22"/>
              </w:rPr>
              <w:t>HR+/HER2+</w:t>
            </w:r>
          </w:p>
        </w:tc>
        <w:tc>
          <w:tcPr>
            <w:tcW w:w="1221" w:type="dxa"/>
          </w:tcPr>
          <w:p w14:paraId="219C4B8B"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De novo MBC</w:t>
            </w:r>
          </w:p>
        </w:tc>
        <w:tc>
          <w:tcPr>
            <w:tcW w:w="775" w:type="dxa"/>
          </w:tcPr>
          <w:p w14:paraId="040AE8D8"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r w:rsidRPr="001044E1">
              <w:rPr>
                <w:rFonts w:eastAsia="Arial"/>
                <w:sz w:val="22"/>
                <w:szCs w:val="22"/>
              </w:rPr>
              <w:t>9</w:t>
            </w:r>
          </w:p>
        </w:tc>
        <w:tc>
          <w:tcPr>
            <w:tcW w:w="1185" w:type="dxa"/>
          </w:tcPr>
          <w:p w14:paraId="319355AD"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p>
        </w:tc>
        <w:tc>
          <w:tcPr>
            <w:tcW w:w="1283" w:type="dxa"/>
          </w:tcPr>
          <w:p w14:paraId="7C4A91F4"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Reference</w:t>
            </w:r>
          </w:p>
        </w:tc>
        <w:tc>
          <w:tcPr>
            <w:tcW w:w="1075" w:type="dxa"/>
          </w:tcPr>
          <w:p w14:paraId="53CE421D"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p>
        </w:tc>
        <w:tc>
          <w:tcPr>
            <w:tcW w:w="1418" w:type="dxa"/>
          </w:tcPr>
          <w:p w14:paraId="2ACB31C5"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Reference</w:t>
            </w:r>
          </w:p>
        </w:tc>
        <w:tc>
          <w:tcPr>
            <w:tcW w:w="1023" w:type="dxa"/>
            <w:vAlign w:val="center"/>
          </w:tcPr>
          <w:p w14:paraId="5041273C"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p>
        </w:tc>
      </w:tr>
      <w:tr w:rsidR="00B113B5" w:rsidRPr="001044E1" w14:paraId="25034B7E" w14:textId="77777777" w:rsidTr="00B500CD">
        <w:trPr>
          <w:trHeight w:val="463"/>
        </w:trPr>
        <w:tc>
          <w:tcPr>
            <w:tcW w:w="1260" w:type="dxa"/>
          </w:tcPr>
          <w:p w14:paraId="6766A812"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sz w:val="22"/>
                <w:szCs w:val="22"/>
              </w:rPr>
            </w:pPr>
          </w:p>
        </w:tc>
        <w:tc>
          <w:tcPr>
            <w:tcW w:w="1221" w:type="dxa"/>
          </w:tcPr>
          <w:p w14:paraId="684ABBA3"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Recurrent MBC</w:t>
            </w:r>
          </w:p>
        </w:tc>
        <w:tc>
          <w:tcPr>
            <w:tcW w:w="775" w:type="dxa"/>
          </w:tcPr>
          <w:p w14:paraId="160D5B25"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r w:rsidRPr="001044E1">
              <w:rPr>
                <w:rFonts w:eastAsia="Arial"/>
                <w:sz w:val="22"/>
                <w:szCs w:val="22"/>
              </w:rPr>
              <w:t>6</w:t>
            </w:r>
          </w:p>
        </w:tc>
        <w:tc>
          <w:tcPr>
            <w:tcW w:w="1185" w:type="dxa"/>
          </w:tcPr>
          <w:p w14:paraId="196E68BF"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r w:rsidRPr="001044E1">
              <w:rPr>
                <w:rFonts w:eastAsia="Arial"/>
                <w:sz w:val="22"/>
                <w:szCs w:val="22"/>
              </w:rPr>
              <w:t>22</w:t>
            </w:r>
          </w:p>
        </w:tc>
        <w:tc>
          <w:tcPr>
            <w:tcW w:w="1283" w:type="dxa"/>
          </w:tcPr>
          <w:p w14:paraId="3BB513BF"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1.08 (0.18–6.50)</w:t>
            </w:r>
          </w:p>
        </w:tc>
        <w:tc>
          <w:tcPr>
            <w:tcW w:w="1075" w:type="dxa"/>
          </w:tcPr>
          <w:p w14:paraId="2CC34E3F"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0.937</w:t>
            </w:r>
          </w:p>
        </w:tc>
        <w:tc>
          <w:tcPr>
            <w:tcW w:w="1418" w:type="dxa"/>
          </w:tcPr>
          <w:p w14:paraId="5B9D81C7"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0.00</w:t>
            </w:r>
          </w:p>
          <w:p w14:paraId="4488A6A7"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(0.00–0.00)</w:t>
            </w:r>
          </w:p>
        </w:tc>
        <w:tc>
          <w:tcPr>
            <w:tcW w:w="1023" w:type="dxa"/>
            <w:vAlign w:val="center"/>
          </w:tcPr>
          <w:p w14:paraId="496E3C12"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&lt;0.001</w:t>
            </w:r>
          </w:p>
        </w:tc>
      </w:tr>
      <w:tr w:rsidR="00B113B5" w:rsidRPr="001044E1" w14:paraId="5377B245" w14:textId="77777777" w:rsidTr="00B500CD">
        <w:trPr>
          <w:trHeight w:val="447"/>
        </w:trPr>
        <w:tc>
          <w:tcPr>
            <w:tcW w:w="1260" w:type="dxa"/>
          </w:tcPr>
          <w:p w14:paraId="0A73E928"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sz w:val="22"/>
                <w:szCs w:val="22"/>
              </w:rPr>
            </w:pPr>
            <w:r w:rsidRPr="001044E1">
              <w:rPr>
                <w:rFonts w:eastAsia="Arial"/>
                <w:b/>
                <w:sz w:val="22"/>
                <w:szCs w:val="22"/>
              </w:rPr>
              <w:t>HR+/HER2-</w:t>
            </w:r>
          </w:p>
        </w:tc>
        <w:tc>
          <w:tcPr>
            <w:tcW w:w="1221" w:type="dxa"/>
          </w:tcPr>
          <w:p w14:paraId="1BC468D8"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De novo MBC</w:t>
            </w:r>
          </w:p>
        </w:tc>
        <w:tc>
          <w:tcPr>
            <w:tcW w:w="775" w:type="dxa"/>
          </w:tcPr>
          <w:p w14:paraId="58F6DA9E"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r w:rsidRPr="001044E1">
              <w:rPr>
                <w:rFonts w:eastAsia="Arial"/>
                <w:sz w:val="22"/>
                <w:szCs w:val="22"/>
              </w:rPr>
              <w:t>12</w:t>
            </w:r>
          </w:p>
        </w:tc>
        <w:tc>
          <w:tcPr>
            <w:tcW w:w="1185" w:type="dxa"/>
          </w:tcPr>
          <w:p w14:paraId="112DC96D"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p>
        </w:tc>
        <w:tc>
          <w:tcPr>
            <w:tcW w:w="1283" w:type="dxa"/>
          </w:tcPr>
          <w:p w14:paraId="24950EE6"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Reference</w:t>
            </w:r>
          </w:p>
        </w:tc>
        <w:tc>
          <w:tcPr>
            <w:tcW w:w="1075" w:type="dxa"/>
          </w:tcPr>
          <w:p w14:paraId="05695F28"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p>
        </w:tc>
        <w:tc>
          <w:tcPr>
            <w:tcW w:w="1418" w:type="dxa"/>
          </w:tcPr>
          <w:p w14:paraId="36742D97"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Reference</w:t>
            </w:r>
          </w:p>
        </w:tc>
        <w:tc>
          <w:tcPr>
            <w:tcW w:w="1023" w:type="dxa"/>
            <w:vAlign w:val="center"/>
          </w:tcPr>
          <w:p w14:paraId="2205CC34"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p>
        </w:tc>
      </w:tr>
      <w:tr w:rsidR="00B113B5" w:rsidRPr="001044E1" w14:paraId="6A2FEA31" w14:textId="77777777" w:rsidTr="00B500CD">
        <w:trPr>
          <w:trHeight w:val="463"/>
        </w:trPr>
        <w:tc>
          <w:tcPr>
            <w:tcW w:w="1260" w:type="dxa"/>
          </w:tcPr>
          <w:p w14:paraId="31FED091"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sz w:val="22"/>
                <w:szCs w:val="22"/>
              </w:rPr>
            </w:pPr>
          </w:p>
        </w:tc>
        <w:tc>
          <w:tcPr>
            <w:tcW w:w="1221" w:type="dxa"/>
          </w:tcPr>
          <w:p w14:paraId="179419CE"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Recurrent MBC</w:t>
            </w:r>
          </w:p>
        </w:tc>
        <w:tc>
          <w:tcPr>
            <w:tcW w:w="775" w:type="dxa"/>
          </w:tcPr>
          <w:p w14:paraId="27AEA01F"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r w:rsidRPr="001044E1">
              <w:rPr>
                <w:rFonts w:eastAsia="Arial"/>
                <w:sz w:val="22"/>
                <w:szCs w:val="22"/>
              </w:rPr>
              <w:t>8</w:t>
            </w:r>
          </w:p>
        </w:tc>
        <w:tc>
          <w:tcPr>
            <w:tcW w:w="1185" w:type="dxa"/>
          </w:tcPr>
          <w:p w14:paraId="71418626"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p>
        </w:tc>
        <w:tc>
          <w:tcPr>
            <w:tcW w:w="1283" w:type="dxa"/>
          </w:tcPr>
          <w:p w14:paraId="79C4452E"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0.37 (0.03–4.23)</w:t>
            </w:r>
          </w:p>
        </w:tc>
        <w:tc>
          <w:tcPr>
            <w:tcW w:w="1075" w:type="dxa"/>
          </w:tcPr>
          <w:p w14:paraId="799EECC5"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0.427</w:t>
            </w:r>
          </w:p>
        </w:tc>
        <w:tc>
          <w:tcPr>
            <w:tcW w:w="1418" w:type="dxa"/>
          </w:tcPr>
          <w:p w14:paraId="60EE3388"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0.00 (0.00–Inf)</w:t>
            </w:r>
          </w:p>
        </w:tc>
        <w:tc>
          <w:tcPr>
            <w:tcW w:w="1023" w:type="dxa"/>
            <w:vAlign w:val="center"/>
          </w:tcPr>
          <w:p w14:paraId="2D3BCCE3"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1</w:t>
            </w:r>
          </w:p>
        </w:tc>
      </w:tr>
      <w:tr w:rsidR="00B113B5" w:rsidRPr="001044E1" w14:paraId="406B228C" w14:textId="77777777" w:rsidTr="00B500CD">
        <w:trPr>
          <w:trHeight w:val="447"/>
        </w:trPr>
        <w:tc>
          <w:tcPr>
            <w:tcW w:w="1260" w:type="dxa"/>
          </w:tcPr>
          <w:p w14:paraId="4B384FD0"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sz w:val="22"/>
                <w:szCs w:val="22"/>
              </w:rPr>
            </w:pPr>
            <w:r w:rsidRPr="001044E1">
              <w:rPr>
                <w:rFonts w:eastAsia="Arial"/>
                <w:b/>
                <w:sz w:val="22"/>
                <w:szCs w:val="22"/>
              </w:rPr>
              <w:t>HR-/HER2+</w:t>
            </w:r>
          </w:p>
        </w:tc>
        <w:tc>
          <w:tcPr>
            <w:tcW w:w="1221" w:type="dxa"/>
          </w:tcPr>
          <w:p w14:paraId="4A5ABBA0"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De novo MBC</w:t>
            </w:r>
          </w:p>
        </w:tc>
        <w:tc>
          <w:tcPr>
            <w:tcW w:w="775" w:type="dxa"/>
          </w:tcPr>
          <w:p w14:paraId="15DCB388"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r w:rsidRPr="001044E1">
              <w:rPr>
                <w:rFonts w:eastAsia="Arial"/>
                <w:sz w:val="22"/>
                <w:szCs w:val="22"/>
              </w:rPr>
              <w:t>3</w:t>
            </w:r>
          </w:p>
        </w:tc>
        <w:tc>
          <w:tcPr>
            <w:tcW w:w="1185" w:type="dxa"/>
          </w:tcPr>
          <w:p w14:paraId="4EE02A0B"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r w:rsidRPr="001044E1">
              <w:rPr>
                <w:rFonts w:eastAsia="Arial"/>
                <w:sz w:val="22"/>
                <w:szCs w:val="22"/>
              </w:rPr>
              <w:t>12</w:t>
            </w:r>
          </w:p>
        </w:tc>
        <w:tc>
          <w:tcPr>
            <w:tcW w:w="1283" w:type="dxa"/>
          </w:tcPr>
          <w:p w14:paraId="08B9C656"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Reference</w:t>
            </w:r>
          </w:p>
        </w:tc>
        <w:tc>
          <w:tcPr>
            <w:tcW w:w="1075" w:type="dxa"/>
          </w:tcPr>
          <w:p w14:paraId="59FA78A7"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p>
        </w:tc>
        <w:tc>
          <w:tcPr>
            <w:tcW w:w="1418" w:type="dxa"/>
          </w:tcPr>
          <w:p w14:paraId="78F38D55"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Reference</w:t>
            </w:r>
          </w:p>
        </w:tc>
        <w:tc>
          <w:tcPr>
            <w:tcW w:w="1023" w:type="dxa"/>
            <w:vAlign w:val="center"/>
          </w:tcPr>
          <w:p w14:paraId="328200F2"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p>
        </w:tc>
      </w:tr>
      <w:tr w:rsidR="00B113B5" w:rsidRPr="001044E1" w14:paraId="325AFC3B" w14:textId="77777777" w:rsidTr="00B500CD">
        <w:trPr>
          <w:trHeight w:val="463"/>
        </w:trPr>
        <w:tc>
          <w:tcPr>
            <w:tcW w:w="1260" w:type="dxa"/>
          </w:tcPr>
          <w:p w14:paraId="69193E82"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sz w:val="22"/>
                <w:szCs w:val="22"/>
              </w:rPr>
            </w:pPr>
          </w:p>
        </w:tc>
        <w:tc>
          <w:tcPr>
            <w:tcW w:w="1221" w:type="dxa"/>
          </w:tcPr>
          <w:p w14:paraId="087FDF6A"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Recurrent MBC</w:t>
            </w:r>
          </w:p>
        </w:tc>
        <w:tc>
          <w:tcPr>
            <w:tcW w:w="775" w:type="dxa"/>
          </w:tcPr>
          <w:p w14:paraId="2CAAA559"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r w:rsidRPr="001044E1">
              <w:rPr>
                <w:rFonts w:eastAsia="Arial"/>
                <w:sz w:val="22"/>
                <w:szCs w:val="22"/>
              </w:rPr>
              <w:t>3</w:t>
            </w:r>
          </w:p>
        </w:tc>
        <w:tc>
          <w:tcPr>
            <w:tcW w:w="1185" w:type="dxa"/>
          </w:tcPr>
          <w:p w14:paraId="299617E2"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r w:rsidRPr="001044E1">
              <w:rPr>
                <w:rFonts w:eastAsia="Arial"/>
                <w:sz w:val="22"/>
                <w:szCs w:val="22"/>
              </w:rPr>
              <w:t>24</w:t>
            </w:r>
          </w:p>
        </w:tc>
        <w:tc>
          <w:tcPr>
            <w:tcW w:w="1283" w:type="dxa"/>
          </w:tcPr>
          <w:p w14:paraId="7E1EF6B0"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0.00 (0.00–Inf)</w:t>
            </w:r>
          </w:p>
        </w:tc>
        <w:tc>
          <w:tcPr>
            <w:tcW w:w="1075" w:type="dxa"/>
          </w:tcPr>
          <w:p w14:paraId="04EAC9FB"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0.999</w:t>
            </w:r>
          </w:p>
        </w:tc>
        <w:tc>
          <w:tcPr>
            <w:tcW w:w="1418" w:type="dxa"/>
          </w:tcPr>
          <w:p w14:paraId="3E536864"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0.00 (0.00–Inf)</w:t>
            </w:r>
          </w:p>
        </w:tc>
        <w:tc>
          <w:tcPr>
            <w:tcW w:w="1023" w:type="dxa"/>
            <w:vAlign w:val="center"/>
          </w:tcPr>
          <w:p w14:paraId="20D8A5BD"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0.999</w:t>
            </w:r>
          </w:p>
        </w:tc>
      </w:tr>
      <w:tr w:rsidR="00B113B5" w:rsidRPr="001044E1" w14:paraId="11691919" w14:textId="77777777" w:rsidTr="00B500CD">
        <w:trPr>
          <w:trHeight w:val="463"/>
        </w:trPr>
        <w:tc>
          <w:tcPr>
            <w:tcW w:w="1260" w:type="dxa"/>
          </w:tcPr>
          <w:p w14:paraId="678B4297"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sz w:val="22"/>
                <w:szCs w:val="22"/>
              </w:rPr>
            </w:pPr>
            <w:r w:rsidRPr="001044E1">
              <w:rPr>
                <w:rFonts w:eastAsia="Arial"/>
                <w:b/>
                <w:sz w:val="22"/>
                <w:szCs w:val="22"/>
              </w:rPr>
              <w:t>HR-/HER2-</w:t>
            </w:r>
          </w:p>
        </w:tc>
        <w:tc>
          <w:tcPr>
            <w:tcW w:w="1221" w:type="dxa"/>
          </w:tcPr>
          <w:p w14:paraId="64868EEB"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De novo MBC</w:t>
            </w:r>
          </w:p>
        </w:tc>
        <w:tc>
          <w:tcPr>
            <w:tcW w:w="775" w:type="dxa"/>
          </w:tcPr>
          <w:p w14:paraId="1925B513"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r w:rsidRPr="001044E1">
              <w:rPr>
                <w:rFonts w:eastAsia="Arial"/>
                <w:sz w:val="22"/>
                <w:szCs w:val="22"/>
              </w:rPr>
              <w:t>5</w:t>
            </w:r>
          </w:p>
        </w:tc>
        <w:tc>
          <w:tcPr>
            <w:tcW w:w="1185" w:type="dxa"/>
          </w:tcPr>
          <w:p w14:paraId="56A05C5D"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p>
        </w:tc>
        <w:tc>
          <w:tcPr>
            <w:tcW w:w="1283" w:type="dxa"/>
          </w:tcPr>
          <w:p w14:paraId="61043A0B"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Reference</w:t>
            </w:r>
          </w:p>
        </w:tc>
        <w:tc>
          <w:tcPr>
            <w:tcW w:w="1075" w:type="dxa"/>
          </w:tcPr>
          <w:p w14:paraId="7A33A52A"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p>
        </w:tc>
        <w:tc>
          <w:tcPr>
            <w:tcW w:w="1418" w:type="dxa"/>
          </w:tcPr>
          <w:p w14:paraId="2A542F0D"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Reference</w:t>
            </w:r>
          </w:p>
        </w:tc>
        <w:tc>
          <w:tcPr>
            <w:tcW w:w="1023" w:type="dxa"/>
            <w:vAlign w:val="center"/>
          </w:tcPr>
          <w:p w14:paraId="7A9DC3AF"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p>
        </w:tc>
      </w:tr>
      <w:tr w:rsidR="00B113B5" w:rsidRPr="001044E1" w14:paraId="397C569E" w14:textId="77777777" w:rsidTr="00B500CD">
        <w:trPr>
          <w:trHeight w:val="463"/>
        </w:trPr>
        <w:tc>
          <w:tcPr>
            <w:tcW w:w="1260" w:type="dxa"/>
          </w:tcPr>
          <w:p w14:paraId="07F4859D"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sz w:val="22"/>
                <w:szCs w:val="22"/>
              </w:rPr>
            </w:pPr>
          </w:p>
        </w:tc>
        <w:tc>
          <w:tcPr>
            <w:tcW w:w="1221" w:type="dxa"/>
          </w:tcPr>
          <w:p w14:paraId="4AB68DFC"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Recurrent MBC</w:t>
            </w:r>
          </w:p>
        </w:tc>
        <w:tc>
          <w:tcPr>
            <w:tcW w:w="775" w:type="dxa"/>
          </w:tcPr>
          <w:p w14:paraId="5871CDFE"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r w:rsidRPr="001044E1">
              <w:rPr>
                <w:rFonts w:eastAsia="Arial"/>
                <w:sz w:val="22"/>
                <w:szCs w:val="22"/>
              </w:rPr>
              <w:t>3</w:t>
            </w:r>
          </w:p>
        </w:tc>
        <w:tc>
          <w:tcPr>
            <w:tcW w:w="1185" w:type="dxa"/>
          </w:tcPr>
          <w:p w14:paraId="20F87420"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sz w:val="22"/>
                <w:szCs w:val="22"/>
              </w:rPr>
            </w:pPr>
          </w:p>
        </w:tc>
        <w:tc>
          <w:tcPr>
            <w:tcW w:w="1283" w:type="dxa"/>
          </w:tcPr>
          <w:p w14:paraId="768BA3D9"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0.00 (0.00–Inf)</w:t>
            </w:r>
          </w:p>
        </w:tc>
        <w:tc>
          <w:tcPr>
            <w:tcW w:w="1075" w:type="dxa"/>
          </w:tcPr>
          <w:p w14:paraId="6619ACD2"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1</w:t>
            </w:r>
          </w:p>
        </w:tc>
        <w:tc>
          <w:tcPr>
            <w:tcW w:w="1418" w:type="dxa"/>
          </w:tcPr>
          <w:p w14:paraId="0207F133"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Inf (0.00–Inf)</w:t>
            </w:r>
          </w:p>
        </w:tc>
        <w:tc>
          <w:tcPr>
            <w:tcW w:w="1023" w:type="dxa"/>
            <w:vAlign w:val="center"/>
          </w:tcPr>
          <w:p w14:paraId="05BCDD24" w14:textId="77777777" w:rsidR="00B113B5" w:rsidRPr="001044E1"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sz w:val="22"/>
                <w:szCs w:val="22"/>
              </w:rPr>
            </w:pPr>
            <w:r w:rsidRPr="001044E1">
              <w:rPr>
                <w:rFonts w:eastAsia="Arial"/>
                <w:sz w:val="22"/>
                <w:szCs w:val="22"/>
              </w:rPr>
              <w:t>1</w:t>
            </w:r>
          </w:p>
        </w:tc>
      </w:tr>
    </w:tbl>
    <w:p w14:paraId="7213C023" w14:textId="77777777" w:rsidR="00B113B5" w:rsidRDefault="00B113B5" w:rsidP="00B113B5">
      <w:pPr>
        <w:pStyle w:val="p2"/>
        <w:spacing w:before="0" w:beforeAutospacing="0" w:after="0" w:afterAutospacing="0"/>
        <w:jc w:val="both"/>
        <w:rPr>
          <w:sz w:val="21"/>
          <w:szCs w:val="21"/>
        </w:rPr>
      </w:pPr>
      <w:r w:rsidRPr="002337FE">
        <w:rPr>
          <w:sz w:val="21"/>
          <w:szCs w:val="21"/>
        </w:rPr>
        <w:t xml:space="preserve">Hazard ratios (HRs) were estimated using Cox proportional hazards regression models. Adjusted analyses were performed for age group, residence, education level, metastatic burden, </w:t>
      </w:r>
      <w:proofErr w:type="spellStart"/>
      <w:r w:rsidRPr="002337FE">
        <w:rPr>
          <w:sz w:val="21"/>
          <w:szCs w:val="21"/>
        </w:rPr>
        <w:t>tumour</w:t>
      </w:r>
      <w:proofErr w:type="spellEnd"/>
      <w:r w:rsidRPr="002337FE">
        <w:rPr>
          <w:sz w:val="21"/>
          <w:szCs w:val="21"/>
        </w:rPr>
        <w:t xml:space="preserve"> grade, and receipt of any systemic treatment. Blank median OS values indicate that the median overall survival was not estimable.</w:t>
      </w:r>
    </w:p>
    <w:p w14:paraId="7ABEE19E" w14:textId="77777777" w:rsidR="00B113B5" w:rsidRDefault="00B113B5" w:rsidP="00B113B5">
      <w:pPr>
        <w:pStyle w:val="p2"/>
        <w:spacing w:before="0" w:beforeAutospacing="0" w:after="0" w:afterAutospacing="0"/>
        <w:jc w:val="both"/>
      </w:pPr>
      <w:r w:rsidRPr="00E078DA">
        <w:rPr>
          <w:sz w:val="21"/>
          <w:szCs w:val="21"/>
        </w:rPr>
        <w:t>CI, confidence interval; HER2, human epidermal growth factor receptor 2; HR, hazard ratio; MBC, metastatic breast cancer; OS, overall survival</w:t>
      </w:r>
      <w:r>
        <w:t>.</w:t>
      </w:r>
    </w:p>
    <w:p w14:paraId="07E2619D" w14:textId="77777777" w:rsidR="00B113B5" w:rsidRDefault="00B113B5" w:rsidP="00B113B5"/>
    <w:p w14:paraId="72852EAA" w14:textId="77777777" w:rsidR="00B113B5" w:rsidRPr="008E6A74" w:rsidRDefault="00B113B5" w:rsidP="00B113B5">
      <w:r w:rsidRPr="008E6A74">
        <w:rPr>
          <w:rStyle w:val="Strong"/>
        </w:rPr>
        <w:lastRenderedPageBreak/>
        <w:t xml:space="preserve">Figure </w:t>
      </w:r>
      <w:r>
        <w:rPr>
          <w:rStyle w:val="Strong"/>
        </w:rPr>
        <w:t>2</w:t>
      </w:r>
      <w:r w:rsidRPr="008E6A74">
        <w:rPr>
          <w:rStyle w:val="Strong"/>
        </w:rPr>
        <w:t>: Kaplan–Meier curves for overall survival according to metastatic breast cancer type and clinical subtype</w:t>
      </w:r>
    </w:p>
    <w:p w14:paraId="7A5C331B" w14:textId="77777777" w:rsidR="00B113B5" w:rsidRDefault="00B113B5" w:rsidP="00B113B5">
      <w:pPr>
        <w:rPr>
          <w:b/>
          <w:bCs/>
        </w:rPr>
      </w:pPr>
    </w:p>
    <w:p w14:paraId="3E217CAF" w14:textId="77777777" w:rsidR="00B113B5" w:rsidRDefault="00B113B5" w:rsidP="00B113B5">
      <w:pPr>
        <w:rPr>
          <w:b/>
          <w:bCs/>
        </w:rPr>
      </w:pPr>
    </w:p>
    <w:p w14:paraId="25B91261" w14:textId="77777777" w:rsidR="00B113B5" w:rsidRDefault="00B113B5" w:rsidP="00B113B5">
      <w:pPr>
        <w:rPr>
          <w:b/>
          <w:bCs/>
        </w:rPr>
      </w:pPr>
      <w:r>
        <w:rPr>
          <w:b/>
          <w:bCs/>
          <w:noProof/>
          <w:lang w:val="en-GB" w:bidi="ar-SA"/>
        </w:rPr>
        <w:drawing>
          <wp:anchor distT="0" distB="0" distL="114300" distR="114300" simplePos="0" relativeHeight="251661312" behindDoc="0" locked="0" layoutInCell="1" allowOverlap="1" wp14:anchorId="51D52563" wp14:editId="79083807">
            <wp:simplePos x="0" y="0"/>
            <wp:positionH relativeFrom="column">
              <wp:posOffset>-5080</wp:posOffset>
            </wp:positionH>
            <wp:positionV relativeFrom="paragraph">
              <wp:posOffset>198687</wp:posOffset>
            </wp:positionV>
            <wp:extent cx="5756910" cy="4318000"/>
            <wp:effectExtent l="0" t="0" r="0" b="0"/>
            <wp:wrapThrough wrapText="bothSides">
              <wp:wrapPolygon edited="0">
                <wp:start x="0" y="0"/>
                <wp:lineTo x="0" y="21536"/>
                <wp:lineTo x="21538" y="21536"/>
                <wp:lineTo x="21538" y="0"/>
                <wp:lineTo x="0" y="0"/>
              </wp:wrapPolygon>
            </wp:wrapThrough>
            <wp:docPr id="1247397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97233" name="Picture 1247397233"/>
                    <pic:cNvPicPr/>
                  </pic:nvPicPr>
                  <pic:blipFill>
                    <a:blip r:embed="rId8"/>
                    <a:stretch>
                      <a:fillRect/>
                    </a:stretch>
                  </pic:blipFill>
                  <pic:spPr>
                    <a:xfrm>
                      <a:off x="0" y="0"/>
                      <a:ext cx="5756910" cy="4318000"/>
                    </a:xfrm>
                    <a:prstGeom prst="rect">
                      <a:avLst/>
                    </a:prstGeom>
                    <a:ln w="3175">
                      <a:noFill/>
                    </a:ln>
                  </pic:spPr>
                </pic:pic>
              </a:graphicData>
            </a:graphic>
            <wp14:sizeRelH relativeFrom="page">
              <wp14:pctWidth>0</wp14:pctWidth>
            </wp14:sizeRelH>
            <wp14:sizeRelV relativeFrom="page">
              <wp14:pctHeight>0</wp14:pctHeight>
            </wp14:sizeRelV>
          </wp:anchor>
        </w:drawing>
      </w:r>
    </w:p>
    <w:p w14:paraId="4802CDAF" w14:textId="77777777" w:rsidR="00B113B5" w:rsidRDefault="00B113B5" w:rsidP="00B113B5">
      <w:pPr>
        <w:rPr>
          <w:b/>
          <w:bCs/>
        </w:rPr>
      </w:pPr>
    </w:p>
    <w:p w14:paraId="2E998020" w14:textId="77777777" w:rsidR="00B113B5" w:rsidRDefault="00B113B5" w:rsidP="00B113B5">
      <w:pPr>
        <w:spacing w:line="276" w:lineRule="auto"/>
        <w:rPr>
          <w:b/>
          <w:bCs/>
        </w:rPr>
      </w:pPr>
      <w:r w:rsidRPr="008E6A74">
        <w:rPr>
          <w:b/>
          <w:bCs/>
        </w:rPr>
        <w:t xml:space="preserve">Figure </w:t>
      </w:r>
      <w:r>
        <w:rPr>
          <w:b/>
          <w:bCs/>
        </w:rPr>
        <w:t>2:</w:t>
      </w:r>
      <w:r w:rsidRPr="008E6A74">
        <w:rPr>
          <w:b/>
          <w:bCs/>
        </w:rPr>
        <w:t xml:space="preserve"> Kaplan–Meier curve comparing overall survival between patients with de novo and recurrent metastatic breast cancer</w:t>
      </w:r>
    </w:p>
    <w:p w14:paraId="2F9B6769" w14:textId="77777777" w:rsidR="00ED3CD5" w:rsidRDefault="00ED3CD5" w:rsidP="009345A5"/>
    <w:p w14:paraId="5C26F7C4" w14:textId="055FA753" w:rsidR="009345A5" w:rsidRPr="00ED3CD5" w:rsidRDefault="00ED3CD5" w:rsidP="00ED3CD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b w:val="0"/>
          <w:bCs/>
          <w:i w:val="0"/>
          <w:iCs/>
        </w:rPr>
      </w:pPr>
      <w:r w:rsidRPr="00ED3CD5">
        <w:rPr>
          <w:b w:val="0"/>
          <w:bCs/>
          <w:i w:val="0"/>
          <w:iCs/>
        </w:rPr>
        <w:t>This shows that patients with recurrent MBC had significantly better overall survival (OS) compared to de novo MBC on Kaplan–Meier analysis (log-rank p = 0.045) (Fig 2). Recurrent MBC had a higher probability of survival during follow-up compared to the survival curves that started to diverge after ~10 months.</w:t>
      </w:r>
    </w:p>
    <w:p w14:paraId="4463A659" w14:textId="77777777" w:rsidR="00ED3CD5" w:rsidRDefault="00ED3CD5" w:rsidP="009345A5"/>
    <w:p w14:paraId="64FBD71E" w14:textId="1F12EDCE" w:rsidR="009345A5" w:rsidRPr="00ED3CD5" w:rsidRDefault="00ED3CD5" w:rsidP="00ED3CD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b w:val="0"/>
          <w:bCs/>
          <w:i w:val="0"/>
          <w:iCs/>
        </w:rPr>
      </w:pPr>
      <w:r w:rsidRPr="00ED3CD5">
        <w:rPr>
          <w:b w:val="0"/>
          <w:bCs/>
          <w:i w:val="0"/>
          <w:iCs/>
        </w:rPr>
        <w:t xml:space="preserve">Table 5 reveals that patients with recurrent metastatic breast cancer had lower hazards of death than the de novo metastatic breast cancer patients, for all prior disease stages. Of these, mortality hazard was greatest in patients with recurrent MBC following Stage I/II disease (HR </w:t>
      </w:r>
      <w:r w:rsidRPr="00ED3CD5">
        <w:rPr>
          <w:b w:val="0"/>
          <w:bCs/>
          <w:i w:val="0"/>
          <w:iCs/>
        </w:rPr>
        <w:lastRenderedPageBreak/>
        <w:t>0.39, 95% CI 0.15–1.01; p = 0.052). But, all of the sub-group differences were non-significant. (Table 5)</w:t>
      </w:r>
    </w:p>
    <w:p w14:paraId="5DCDB530" w14:textId="77777777" w:rsidR="00B113B5" w:rsidRDefault="00B113B5" w:rsidP="00B113B5">
      <w:pPr>
        <w:rPr>
          <w:b/>
          <w:bCs/>
        </w:rPr>
      </w:pPr>
      <w:r w:rsidRPr="009C650E">
        <w:rPr>
          <w:b/>
          <w:bCs/>
        </w:rPr>
        <w:t>Table 5</w:t>
      </w:r>
      <w:r>
        <w:rPr>
          <w:b/>
          <w:bCs/>
        </w:rPr>
        <w:t xml:space="preserve">: </w:t>
      </w:r>
      <w:r w:rsidRPr="009C650E">
        <w:rPr>
          <w:b/>
          <w:bCs/>
        </w:rPr>
        <w:t>Hazard ratios for overall survival according to metastatic breast cancer type and prior disease stage</w:t>
      </w:r>
    </w:p>
    <w:p w14:paraId="37ACD246" w14:textId="77777777" w:rsidR="00B113B5" w:rsidRDefault="00B113B5" w:rsidP="00B113B5">
      <w:pPr>
        <w:rPr>
          <w:b/>
          <w:bCs/>
        </w:rPr>
      </w:pPr>
    </w:p>
    <w:tbl>
      <w:tblPr>
        <w:tblStyle w:val="TableGrid"/>
        <w:tblW w:w="9125" w:type="dxa"/>
        <w:tblLayout w:type="fixed"/>
        <w:tblLook w:val="0420" w:firstRow="1" w:lastRow="0" w:firstColumn="0" w:lastColumn="0" w:noHBand="0" w:noVBand="1"/>
      </w:tblPr>
      <w:tblGrid>
        <w:gridCol w:w="4560"/>
        <w:gridCol w:w="1123"/>
        <w:gridCol w:w="1860"/>
        <w:gridCol w:w="1582"/>
      </w:tblGrid>
      <w:tr w:rsidR="00B113B5" w:rsidRPr="002A17B0" w14:paraId="3BD68924" w14:textId="77777777" w:rsidTr="00B500CD">
        <w:trPr>
          <w:trHeight w:val="608"/>
        </w:trPr>
        <w:tc>
          <w:tcPr>
            <w:tcW w:w="4560" w:type="dxa"/>
          </w:tcPr>
          <w:p w14:paraId="7C0B871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rPr>
                <w:rFonts w:eastAsia="Arial"/>
                <w:color w:val="000000"/>
                <w:sz w:val="22"/>
                <w:szCs w:val="22"/>
              </w:rPr>
            </w:pPr>
            <w:r w:rsidRPr="002A17B0">
              <w:rPr>
                <w:rFonts w:eastAsia="Arial"/>
                <w:b/>
                <w:color w:val="000000"/>
                <w:sz w:val="22"/>
                <w:szCs w:val="22"/>
              </w:rPr>
              <w:t>Group</w:t>
            </w:r>
          </w:p>
        </w:tc>
        <w:tc>
          <w:tcPr>
            <w:tcW w:w="1123" w:type="dxa"/>
          </w:tcPr>
          <w:p w14:paraId="614B72D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HR</w:t>
            </w:r>
          </w:p>
        </w:tc>
        <w:tc>
          <w:tcPr>
            <w:tcW w:w="1860" w:type="dxa"/>
          </w:tcPr>
          <w:p w14:paraId="2682C14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95% CI</w:t>
            </w:r>
          </w:p>
        </w:tc>
        <w:tc>
          <w:tcPr>
            <w:tcW w:w="1582" w:type="dxa"/>
          </w:tcPr>
          <w:p w14:paraId="013DD30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40" w:after="40"/>
              <w:ind w:left="100" w:right="100"/>
              <w:jc w:val="center"/>
              <w:rPr>
                <w:rFonts w:eastAsia="Arial"/>
                <w:color w:val="000000"/>
                <w:sz w:val="22"/>
                <w:szCs w:val="22"/>
              </w:rPr>
            </w:pPr>
            <w:r w:rsidRPr="002A17B0">
              <w:rPr>
                <w:rFonts w:eastAsia="Arial"/>
                <w:b/>
                <w:color w:val="000000"/>
                <w:sz w:val="22"/>
                <w:szCs w:val="22"/>
              </w:rPr>
              <w:t>p-value</w:t>
            </w:r>
          </w:p>
        </w:tc>
      </w:tr>
      <w:tr w:rsidR="00B113B5" w:rsidRPr="002A17B0" w14:paraId="4749E565" w14:textId="77777777" w:rsidTr="00B500CD">
        <w:trPr>
          <w:trHeight w:val="464"/>
        </w:trPr>
        <w:tc>
          <w:tcPr>
            <w:tcW w:w="4560" w:type="dxa"/>
          </w:tcPr>
          <w:p w14:paraId="305807B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rPr>
                <w:rFonts w:eastAsia="Arial"/>
                <w:b/>
                <w:color w:val="000000"/>
                <w:sz w:val="22"/>
                <w:szCs w:val="22"/>
              </w:rPr>
            </w:pPr>
            <w:r w:rsidRPr="002A17B0">
              <w:rPr>
                <w:rFonts w:eastAsia="Arial"/>
                <w:b/>
                <w:color w:val="000000"/>
                <w:sz w:val="22"/>
                <w:szCs w:val="22"/>
              </w:rPr>
              <w:t>MBC group / prior stage</w:t>
            </w:r>
          </w:p>
        </w:tc>
        <w:tc>
          <w:tcPr>
            <w:tcW w:w="1123" w:type="dxa"/>
          </w:tcPr>
          <w:p w14:paraId="3C2DC4E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860" w:type="dxa"/>
          </w:tcPr>
          <w:p w14:paraId="42E80406"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c>
          <w:tcPr>
            <w:tcW w:w="1582" w:type="dxa"/>
          </w:tcPr>
          <w:p w14:paraId="59EF2AC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p>
        </w:tc>
      </w:tr>
      <w:tr w:rsidR="00B113B5" w:rsidRPr="002A17B0" w14:paraId="1C5D2380" w14:textId="77777777" w:rsidTr="00B500CD">
        <w:trPr>
          <w:trHeight w:val="464"/>
        </w:trPr>
        <w:tc>
          <w:tcPr>
            <w:tcW w:w="4560" w:type="dxa"/>
          </w:tcPr>
          <w:p w14:paraId="78F2353F"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De novo MBC</w:t>
            </w:r>
          </w:p>
        </w:tc>
        <w:tc>
          <w:tcPr>
            <w:tcW w:w="1123" w:type="dxa"/>
            <w:vAlign w:val="center"/>
          </w:tcPr>
          <w:p w14:paraId="7EF19EC1"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t>1.00</w:t>
            </w:r>
          </w:p>
        </w:tc>
        <w:tc>
          <w:tcPr>
            <w:tcW w:w="1860" w:type="dxa"/>
            <w:vAlign w:val="center"/>
          </w:tcPr>
          <w:p w14:paraId="16644F7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t>Reference</w:t>
            </w:r>
          </w:p>
        </w:tc>
        <w:tc>
          <w:tcPr>
            <w:tcW w:w="1582" w:type="dxa"/>
            <w:vAlign w:val="center"/>
          </w:tcPr>
          <w:p w14:paraId="21498417"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2"/>
                <w:szCs w:val="22"/>
              </w:rPr>
            </w:pPr>
            <w:r w:rsidRPr="00253328">
              <w:rPr>
                <w:rFonts w:ascii="Arial" w:eastAsia="Arial" w:hAnsi="Arial" w:cs="Arial"/>
                <w:color w:val="000000"/>
                <w:sz w:val="20"/>
                <w:szCs w:val="22"/>
              </w:rPr>
              <w:t>—</w:t>
            </w:r>
          </w:p>
        </w:tc>
      </w:tr>
      <w:tr w:rsidR="00B113B5" w:rsidRPr="002A17B0" w14:paraId="1DD30221" w14:textId="77777777" w:rsidTr="00B500CD">
        <w:trPr>
          <w:trHeight w:val="737"/>
        </w:trPr>
        <w:tc>
          <w:tcPr>
            <w:tcW w:w="4560" w:type="dxa"/>
          </w:tcPr>
          <w:p w14:paraId="3C27A15E"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Recurrent – Prior Stage 3</w:t>
            </w:r>
          </w:p>
        </w:tc>
        <w:tc>
          <w:tcPr>
            <w:tcW w:w="1123" w:type="dxa"/>
          </w:tcPr>
          <w:p w14:paraId="5766720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1"/>
              </w:rPr>
            </w:pPr>
            <w:r w:rsidRPr="002A17B0">
              <w:rPr>
                <w:rFonts w:eastAsia="Arial"/>
                <w:color w:val="000000"/>
                <w:sz w:val="21"/>
              </w:rPr>
              <w:t>0.64</w:t>
            </w:r>
          </w:p>
        </w:tc>
        <w:tc>
          <w:tcPr>
            <w:tcW w:w="1860" w:type="dxa"/>
          </w:tcPr>
          <w:p w14:paraId="10308EEC"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1"/>
              </w:rPr>
            </w:pPr>
            <w:r w:rsidRPr="002A17B0">
              <w:rPr>
                <w:rFonts w:eastAsia="Arial"/>
                <w:color w:val="000000"/>
                <w:sz w:val="21"/>
              </w:rPr>
              <w:t>0.25, 1.62</w:t>
            </w:r>
          </w:p>
        </w:tc>
        <w:tc>
          <w:tcPr>
            <w:tcW w:w="1582" w:type="dxa"/>
          </w:tcPr>
          <w:p w14:paraId="31E79F3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1"/>
              </w:rPr>
            </w:pPr>
            <w:r w:rsidRPr="002A17B0">
              <w:rPr>
                <w:rFonts w:eastAsia="Arial"/>
                <w:color w:val="000000"/>
                <w:sz w:val="21"/>
              </w:rPr>
              <w:t>0.3</w:t>
            </w:r>
          </w:p>
        </w:tc>
      </w:tr>
      <w:tr w:rsidR="00B113B5" w:rsidRPr="002A17B0" w14:paraId="38AFEBFE" w14:textId="77777777" w:rsidTr="00B500CD">
        <w:trPr>
          <w:trHeight w:val="737"/>
        </w:trPr>
        <w:tc>
          <w:tcPr>
            <w:tcW w:w="4560" w:type="dxa"/>
          </w:tcPr>
          <w:p w14:paraId="430571F9"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Recurrent – Prior Stage 1/2</w:t>
            </w:r>
          </w:p>
        </w:tc>
        <w:tc>
          <w:tcPr>
            <w:tcW w:w="1123" w:type="dxa"/>
          </w:tcPr>
          <w:p w14:paraId="42F229F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1"/>
              </w:rPr>
            </w:pPr>
            <w:r w:rsidRPr="002A17B0">
              <w:rPr>
                <w:rFonts w:eastAsia="Arial"/>
                <w:color w:val="000000"/>
                <w:sz w:val="21"/>
              </w:rPr>
              <w:t>0.39</w:t>
            </w:r>
          </w:p>
        </w:tc>
        <w:tc>
          <w:tcPr>
            <w:tcW w:w="1860" w:type="dxa"/>
          </w:tcPr>
          <w:p w14:paraId="5F40874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1"/>
              </w:rPr>
            </w:pPr>
            <w:r w:rsidRPr="002A17B0">
              <w:rPr>
                <w:rFonts w:eastAsia="Arial"/>
                <w:color w:val="000000"/>
                <w:sz w:val="21"/>
              </w:rPr>
              <w:t>0.15, 1.01</w:t>
            </w:r>
          </w:p>
        </w:tc>
        <w:tc>
          <w:tcPr>
            <w:tcW w:w="1582" w:type="dxa"/>
          </w:tcPr>
          <w:p w14:paraId="49937302"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1"/>
              </w:rPr>
            </w:pPr>
            <w:r w:rsidRPr="002A17B0">
              <w:rPr>
                <w:rFonts w:eastAsia="Arial"/>
                <w:color w:val="000000"/>
                <w:sz w:val="21"/>
              </w:rPr>
              <w:t>0.052</w:t>
            </w:r>
          </w:p>
        </w:tc>
      </w:tr>
      <w:tr w:rsidR="00B113B5" w:rsidRPr="002A17B0" w14:paraId="63DBE335" w14:textId="77777777" w:rsidTr="00B500CD">
        <w:trPr>
          <w:trHeight w:val="737"/>
        </w:trPr>
        <w:tc>
          <w:tcPr>
            <w:tcW w:w="4560" w:type="dxa"/>
          </w:tcPr>
          <w:p w14:paraId="4FFD4810"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300" w:right="100"/>
              <w:rPr>
                <w:rFonts w:eastAsia="Arial"/>
                <w:color w:val="000000"/>
                <w:sz w:val="22"/>
                <w:szCs w:val="22"/>
              </w:rPr>
            </w:pPr>
            <w:r w:rsidRPr="002A17B0">
              <w:rPr>
                <w:rFonts w:eastAsia="Arial"/>
                <w:color w:val="000000"/>
                <w:sz w:val="22"/>
                <w:szCs w:val="22"/>
              </w:rPr>
              <w:t>Recurrent – Stage unknown</w:t>
            </w:r>
          </w:p>
        </w:tc>
        <w:tc>
          <w:tcPr>
            <w:tcW w:w="1123" w:type="dxa"/>
          </w:tcPr>
          <w:p w14:paraId="42C27105"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1"/>
              </w:rPr>
            </w:pPr>
            <w:r w:rsidRPr="002A17B0">
              <w:rPr>
                <w:rFonts w:eastAsia="Arial"/>
                <w:color w:val="000000"/>
                <w:sz w:val="21"/>
              </w:rPr>
              <w:t>0.14</w:t>
            </w:r>
          </w:p>
        </w:tc>
        <w:tc>
          <w:tcPr>
            <w:tcW w:w="1860" w:type="dxa"/>
          </w:tcPr>
          <w:p w14:paraId="3876932D"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1"/>
              </w:rPr>
            </w:pPr>
            <w:r w:rsidRPr="002A17B0">
              <w:rPr>
                <w:rFonts w:eastAsia="Arial"/>
                <w:color w:val="000000"/>
                <w:sz w:val="21"/>
              </w:rPr>
              <w:t>0.02, 1.15</w:t>
            </w:r>
          </w:p>
        </w:tc>
        <w:tc>
          <w:tcPr>
            <w:tcW w:w="1582" w:type="dxa"/>
          </w:tcPr>
          <w:p w14:paraId="37F8EE54" w14:textId="77777777" w:rsidR="00B113B5" w:rsidRPr="002A17B0" w:rsidRDefault="00B113B5" w:rsidP="00B500C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olor w:val="000000"/>
                <w:sz w:val="21"/>
              </w:rPr>
            </w:pPr>
            <w:r w:rsidRPr="002A17B0">
              <w:rPr>
                <w:rFonts w:eastAsia="Arial"/>
                <w:color w:val="000000"/>
                <w:sz w:val="21"/>
              </w:rPr>
              <w:t>0.067</w:t>
            </w:r>
          </w:p>
        </w:tc>
      </w:tr>
    </w:tbl>
    <w:p w14:paraId="05A8482A" w14:textId="77777777" w:rsidR="00B113B5" w:rsidRPr="00E078DA" w:rsidRDefault="00B113B5" w:rsidP="00B113B5">
      <w:pPr>
        <w:pStyle w:val="p1"/>
        <w:spacing w:before="0" w:beforeAutospacing="0" w:after="0" w:afterAutospacing="0"/>
        <w:jc w:val="both"/>
        <w:rPr>
          <w:sz w:val="21"/>
          <w:szCs w:val="21"/>
        </w:rPr>
      </w:pPr>
      <w:r w:rsidRPr="00E078DA">
        <w:rPr>
          <w:sz w:val="21"/>
          <w:szCs w:val="21"/>
        </w:rPr>
        <w:t>Hazard ratios were estimated using Cox proportional hazards regression models, with de novo metastatic breast cancer as the reference category.</w:t>
      </w:r>
    </w:p>
    <w:p w14:paraId="23E539EB" w14:textId="77777777" w:rsidR="00B113B5" w:rsidRPr="00E078DA" w:rsidRDefault="00B113B5" w:rsidP="00B113B5">
      <w:pPr>
        <w:pStyle w:val="p2"/>
        <w:spacing w:before="0" w:beforeAutospacing="0" w:after="0" w:afterAutospacing="0"/>
        <w:jc w:val="both"/>
        <w:rPr>
          <w:sz w:val="21"/>
          <w:szCs w:val="21"/>
        </w:rPr>
      </w:pPr>
      <w:r w:rsidRPr="00E078DA">
        <w:rPr>
          <w:sz w:val="21"/>
          <w:szCs w:val="21"/>
        </w:rPr>
        <w:t>CI, confidence interval; HR, hazard ratio; MBC, metastatic breast cancer.</w:t>
      </w:r>
    </w:p>
    <w:p w14:paraId="1E6DA1BC" w14:textId="77777777" w:rsidR="009345A5" w:rsidRDefault="009345A5" w:rsidP="009345A5"/>
    <w:p w14:paraId="2A1A3A39" w14:textId="77777777" w:rsidR="00B113B5" w:rsidRPr="009345A5" w:rsidRDefault="00B113B5" w:rsidP="009345A5"/>
    <w:p w14:paraId="2A5608C2" w14:textId="16651A5A" w:rsidR="00835CA2" w:rsidRDefault="00835CA2" w:rsidP="003962D6">
      <w:pPr>
        <w:pStyle w:val="Heading2"/>
        <w:numPr>
          <w:ilvl w:val="0"/>
          <w:numId w:val="0"/>
        </w:numPr>
        <w:rPr>
          <w:rStyle w:val="s1"/>
          <w:rFonts w:ascii="Times New Roman" w:hAnsi="Times New Roman" w:cs="Times New Roman"/>
          <w:sz w:val="28"/>
          <w:szCs w:val="28"/>
        </w:rPr>
      </w:pPr>
      <w:r w:rsidRPr="003962D6">
        <w:rPr>
          <w:rStyle w:val="s1"/>
          <w:rFonts w:ascii="Times New Roman" w:hAnsi="Times New Roman" w:cs="Times New Roman"/>
          <w:sz w:val="28"/>
          <w:szCs w:val="28"/>
        </w:rPr>
        <w:t>Discussion</w:t>
      </w:r>
    </w:p>
    <w:p w14:paraId="6A5309B2" w14:textId="77777777" w:rsidR="003962D6" w:rsidRPr="003962D6" w:rsidRDefault="003962D6" w:rsidP="003962D6"/>
    <w:p w14:paraId="2780934A" w14:textId="77777777" w:rsidR="00ED3CD5" w:rsidRDefault="00ED3CD5" w:rsidP="00ED3CD5">
      <w:pPr>
        <w:pStyle w:val="p2"/>
        <w:spacing w:after="120" w:line="360" w:lineRule="auto"/>
        <w:jc w:val="both"/>
      </w:pPr>
      <w:r>
        <w:t>This is one of the first comparisons of de novo metastatic breast cancer (</w:t>
      </w:r>
      <w:proofErr w:type="spellStart"/>
      <w:r>
        <w:t>dnMBC</w:t>
      </w:r>
      <w:proofErr w:type="spellEnd"/>
      <w:r>
        <w:t>) and recurrent metastatic breast cancer (</w:t>
      </w:r>
      <w:proofErr w:type="spellStart"/>
      <w:r>
        <w:t>rMBC</w:t>
      </w:r>
      <w:proofErr w:type="spellEnd"/>
      <w:r>
        <w:t xml:space="preserve">) in a tertiary </w:t>
      </w:r>
      <w:proofErr w:type="spellStart"/>
      <w:r>
        <w:t>centre</w:t>
      </w:r>
      <w:proofErr w:type="spellEnd"/>
      <w:r>
        <w:t xml:space="preserve"> in northern Bangladesh. Higher positivity for hormone receptor and bone metastasis </w:t>
      </w:r>
      <w:proofErr w:type="gramStart"/>
      <w:r>
        <w:t>were</w:t>
      </w:r>
      <w:proofErr w:type="gramEnd"/>
      <w:r>
        <w:t xml:space="preserve"> observed among </w:t>
      </w:r>
      <w:proofErr w:type="spellStart"/>
      <w:r>
        <w:t>dnMBC</w:t>
      </w:r>
      <w:proofErr w:type="spellEnd"/>
      <w:r>
        <w:t xml:space="preserve"> patients, whereas more Grade 3 tumors were observed in </w:t>
      </w:r>
      <w:proofErr w:type="spellStart"/>
      <w:r>
        <w:t>rMBC</w:t>
      </w:r>
      <w:proofErr w:type="spellEnd"/>
      <w:r>
        <w:t xml:space="preserve">. Treatment was similar, although there was a higher incidence of targeted therapy in </w:t>
      </w:r>
      <w:proofErr w:type="spellStart"/>
      <w:r>
        <w:t>dnMBC</w:t>
      </w:r>
      <w:proofErr w:type="spellEnd"/>
      <w:r>
        <w:t>. Overall survival was also significantly improved with recurrent MBC, with an unadjusted mortality risk reduction of 47% (HR 0.53). Multivariable adjustment showed a borderline survival advantage (adjusted HR 0.47, p = 0.060) but trends remained. These findings suggest that survival is related to the biology of the tumor, availability of health care, diagnostics, and therapeutic options.</w:t>
      </w:r>
    </w:p>
    <w:p w14:paraId="0A9F3988" w14:textId="77777777" w:rsidR="00ED3CD5" w:rsidRDefault="00ED3CD5" w:rsidP="00ED3CD5">
      <w:pPr>
        <w:pStyle w:val="p2"/>
        <w:spacing w:after="120" w:line="360" w:lineRule="auto"/>
        <w:jc w:val="both"/>
      </w:pPr>
      <w:r>
        <w:t xml:space="preserve">The most significant result in this study was the survival benefit in patients with recurrent MBC versus </w:t>
      </w:r>
      <w:proofErr w:type="spellStart"/>
      <w:r>
        <w:t>dnMBC</w:t>
      </w:r>
      <w:proofErr w:type="spellEnd"/>
      <w:r>
        <w:t xml:space="preserve">. This result is in contrast to most studies done in high income countries, which show that patients with </w:t>
      </w:r>
      <w:proofErr w:type="spellStart"/>
      <w:r>
        <w:t>dnMBC</w:t>
      </w:r>
      <w:proofErr w:type="spellEnd"/>
      <w:r>
        <w:t xml:space="preserve"> tend to have better survival. The POSH cohort showed the same in large </w:t>
      </w:r>
      <w:proofErr w:type="gramStart"/>
      <w:r>
        <w:t>population based</w:t>
      </w:r>
      <w:proofErr w:type="gramEnd"/>
      <w:r>
        <w:t xml:space="preserve"> studies from the Netherlands [5] and the POSH cohort [13]. Similarly, </w:t>
      </w:r>
      <w:proofErr w:type="spellStart"/>
      <w:r>
        <w:t>Lobbezoo</w:t>
      </w:r>
      <w:proofErr w:type="spellEnd"/>
      <w:r>
        <w:t xml:space="preserve"> et al. (2015) and Malmgren et al. (2017) found </w:t>
      </w:r>
      <w:proofErr w:type="spellStart"/>
      <w:r>
        <w:t>dnMBC</w:t>
      </w:r>
      <w:proofErr w:type="spellEnd"/>
      <w:r>
        <w:t xml:space="preserve"> to be an </w:t>
      </w:r>
      <w:r>
        <w:lastRenderedPageBreak/>
        <w:t xml:space="preserve">independent favorable prognostic factor when adjusted for clinicopathological factors [11,14]. The results of these studies have been largely attributed to the treatment-naïve nature of </w:t>
      </w:r>
      <w:proofErr w:type="spellStart"/>
      <w:r>
        <w:t>dnMBC</w:t>
      </w:r>
      <w:proofErr w:type="spellEnd"/>
      <w:r>
        <w:t xml:space="preserve"> and its high sensitivity to first-line systemic therapy. Our data, on the other hand, indicate that the prognosis of metastatic presentation may vary in resource-limited healthcare systems.</w:t>
      </w:r>
    </w:p>
    <w:p w14:paraId="196EBA00" w14:textId="77777777" w:rsidR="00ED3CD5" w:rsidRDefault="00ED3CD5" w:rsidP="00ED3CD5">
      <w:pPr>
        <w:pStyle w:val="p2"/>
        <w:spacing w:after="120" w:line="360" w:lineRule="auto"/>
        <w:jc w:val="both"/>
      </w:pPr>
      <w:r>
        <w:t xml:space="preserve">There are a number of reasons for this. The major challenges in breast cancer care in Bangladesh are absence of </w:t>
      </w:r>
      <w:proofErr w:type="spellStart"/>
      <w:r>
        <w:t>organised</w:t>
      </w:r>
      <w:proofErr w:type="spellEnd"/>
      <w:r>
        <w:t xml:space="preserve"> screening, late health-care seeking, limited awareness, financial problems, and inadequate access to specialized oncology services [1,15,16]. Often times, patients present late with the disease, and hence there is a high stage of presentation of the disease at diagnosis, which is also documented by various studies including one at the Rangpur medical college hospital [17]. The situation is comparable in other LMICs in which delayed diagnosis is a key contributor to poor outcomes [18,19]. The volume of metastatic disease, the performance status, and the number of therapeutic interventions may have been compromised in many of our </w:t>
      </w:r>
      <w:proofErr w:type="spellStart"/>
      <w:r>
        <w:t>dnMBC</w:t>
      </w:r>
      <w:proofErr w:type="spellEnd"/>
      <w:r>
        <w:t xml:space="preserve"> patients as a consequence of their long history of undiagnosed metastatic disease before they presented. However, patients with recurrent disease had a history of health care contact and were assessed earlier following recurrence of symptoms, which may offset any biological benefits of </w:t>
      </w:r>
      <w:proofErr w:type="spellStart"/>
      <w:r>
        <w:t>dnMBC</w:t>
      </w:r>
      <w:proofErr w:type="spellEnd"/>
      <w:r>
        <w:t>.</w:t>
      </w:r>
    </w:p>
    <w:p w14:paraId="47E25031" w14:textId="77777777" w:rsidR="00ED3CD5" w:rsidRDefault="00ED3CD5" w:rsidP="00ED3CD5">
      <w:pPr>
        <w:pStyle w:val="p2"/>
        <w:spacing w:after="120" w:line="360" w:lineRule="auto"/>
        <w:jc w:val="both"/>
      </w:pPr>
      <w:r>
        <w:t>Our sub-group analysis revealed that the mortality hazard of recurrent breast cancer after Stage I/II was the lowest (HR 0.39) but did not reach significance. Previous research has shown prognosis in metastatic breast cancer to be dependent on the metastasis free interval (MFI) where late recurrence has been associated with better survival and less aggressive disease [11,20]. It was impossible to assess the prognostic role of MFI here because it was not available. Nevertheless, our findings are consistent with earlier studies that indicated that the time of recurrence was an independent determinant of survival.</w:t>
      </w:r>
    </w:p>
    <w:p w14:paraId="502B387F" w14:textId="77777777" w:rsidR="00ED3CD5" w:rsidRDefault="00ED3CD5" w:rsidP="00ED3CD5">
      <w:pPr>
        <w:pStyle w:val="p2"/>
        <w:spacing w:after="120" w:line="360" w:lineRule="auto"/>
        <w:jc w:val="both"/>
      </w:pPr>
      <w:r>
        <w:t xml:space="preserve">There were also clinicopathological differences between the two metastatic presentations. Recurrent MBC had a higher percentage of Grade 3 </w:t>
      </w:r>
      <w:proofErr w:type="spellStart"/>
      <w:r>
        <w:t>tumours</w:t>
      </w:r>
      <w:proofErr w:type="spellEnd"/>
      <w:r>
        <w:t xml:space="preserve"> (44% vs. 29%) and patients with </w:t>
      </w:r>
      <w:proofErr w:type="spellStart"/>
      <w:r>
        <w:t>dnMBC</w:t>
      </w:r>
      <w:proofErr w:type="spellEnd"/>
      <w:r>
        <w:t xml:space="preserve"> had significantly higher ER positivity (38% vs. 19%). These observations are in line with previous results showing that </w:t>
      </w:r>
      <w:proofErr w:type="spellStart"/>
      <w:r>
        <w:t>dnMBC</w:t>
      </w:r>
      <w:proofErr w:type="spellEnd"/>
      <w:r>
        <w:t xml:space="preserve"> is more common in hormone receptor positive disease, while recurrent disease is the result of the evolution of the </w:t>
      </w:r>
      <w:proofErr w:type="spellStart"/>
      <w:r>
        <w:t>tumour</w:t>
      </w:r>
      <w:proofErr w:type="spellEnd"/>
      <w:r>
        <w:t xml:space="preserve"> and the selection of more aggressive treatment resistant clones after previous systemic treatment [5, 6]. The grade of the </w:t>
      </w:r>
      <w:proofErr w:type="spellStart"/>
      <w:r>
        <w:t>tumour</w:t>
      </w:r>
      <w:proofErr w:type="spellEnd"/>
      <w:r>
        <w:t xml:space="preserve"> has also been correlated with the ability to form metastases and prognosis [7]. Nevertheless, although the receptor profile was more </w:t>
      </w:r>
      <w:proofErr w:type="spellStart"/>
      <w:r>
        <w:t>favourable</w:t>
      </w:r>
      <w:proofErr w:type="spellEnd"/>
      <w:r>
        <w:t xml:space="preserve"> in </w:t>
      </w:r>
      <w:proofErr w:type="spellStart"/>
      <w:r>
        <w:t>dnMBC</w:t>
      </w:r>
      <w:proofErr w:type="spellEnd"/>
      <w:r>
        <w:t xml:space="preserve"> patients, we were not able to show a better survival in our cohort, which could indicate that the influence of </w:t>
      </w:r>
      <w:r>
        <w:lastRenderedPageBreak/>
        <w:t xml:space="preserve">healthcare-related factors on survival is greater in resource-limited settings than that of intrinsic </w:t>
      </w:r>
      <w:proofErr w:type="spellStart"/>
      <w:r>
        <w:t>tumour</w:t>
      </w:r>
      <w:proofErr w:type="spellEnd"/>
      <w:r>
        <w:t xml:space="preserve"> biology.</w:t>
      </w:r>
    </w:p>
    <w:p w14:paraId="25235208" w14:textId="77777777" w:rsidR="00ED3CD5" w:rsidRDefault="00ED3CD5" w:rsidP="00ED3CD5">
      <w:pPr>
        <w:pStyle w:val="p2"/>
        <w:spacing w:after="120" w:line="360" w:lineRule="auto"/>
        <w:jc w:val="both"/>
      </w:pPr>
      <w:r>
        <w:t xml:space="preserve">The frequency of bone metastasis was significantly higher for the </w:t>
      </w:r>
      <w:proofErr w:type="spellStart"/>
      <w:r>
        <w:t>dnMBC</w:t>
      </w:r>
      <w:proofErr w:type="spellEnd"/>
      <w:r>
        <w:t xml:space="preserve"> group (60% vs. 35%), but did not differ in terms of the total number of metastases. This result is in line with earlier studies which had reported the bone to be the most common site of metastasis in hormone receptor-positive breast cancer patients [5, 6, 21]. Bone metastases without or with less soft tissue involvement are usually associated with a more indolent course of disease and survival than visceral metastases [22- 25]. However, this anticipated </w:t>
      </w:r>
      <w:proofErr w:type="spellStart"/>
      <w:r>
        <w:t>favourable</w:t>
      </w:r>
      <w:proofErr w:type="spellEnd"/>
      <w:r>
        <w:t xml:space="preserve"> prognostic benefit was not seen in our group. Targeted therapy was more commonly used in patients with </w:t>
      </w:r>
      <w:proofErr w:type="spellStart"/>
      <w:r>
        <w:t>dnMBC</w:t>
      </w:r>
      <w:proofErr w:type="spellEnd"/>
      <w:r>
        <w:t xml:space="preserve"> (16% versus 2.8%) but only 8.9% of the overall population received targeted therapy. However, the use of zoledronic acid and palliative radiotherapy was also low, despite the high number of bone metastases. These results seem to indicate that the lack of modern targeted treatments and supportive care may have affected the survival advantage typically achieved with bone-predominant metastatic disease.</w:t>
      </w:r>
    </w:p>
    <w:p w14:paraId="570EB3FA" w14:textId="77777777" w:rsidR="00ED3CD5" w:rsidRDefault="00ED3CD5" w:rsidP="00ED3CD5">
      <w:pPr>
        <w:pStyle w:val="p2"/>
        <w:spacing w:after="120" w:line="360" w:lineRule="auto"/>
        <w:jc w:val="both"/>
      </w:pPr>
      <w:r>
        <w:t xml:space="preserve">Overall, both groups received similar patterns of treatment except for targeted therapy. The similarities between the chemotherapy and endocrine therapy rates, as well as the adherence, chemotherapy delay, symptomatic response, and radiological response, may reflect a relatively uniform approach to treatment within a resource-limited public oncology service, where drug availability and cost may be more important in treatment decision-making than individualized molecular treatment profiling. The restrictions for access of anti-HER2 agents, CDK4/6 inhibitors, PARP inhibitors, genomic testing, and multidisciplinary cancer care have been widely seen in other LMICs [8,19]. </w:t>
      </w:r>
    </w:p>
    <w:p w14:paraId="6C724358" w14:textId="77777777" w:rsidR="00ED3CD5" w:rsidRDefault="00ED3CD5" w:rsidP="001E4DF5">
      <w:pPr>
        <w:pStyle w:val="p2"/>
        <w:spacing w:before="0" w:beforeAutospacing="0" w:after="120" w:afterAutospacing="0" w:line="360" w:lineRule="auto"/>
        <w:jc w:val="both"/>
      </w:pPr>
      <w:r>
        <w:t>A significant finding in the present study was the large number of patients who did not have a complete biomarker profile, as more than 60% lacked documented ER, PR, and/or HER2. Lack of standardized immunohistochemistry and molecular testing has been reported in other resource-poor countries such as Bangladesh [3,12,26,27]. Patients may not receive the best treatment options because of less-than-ideal biomarker characterization, potentially leading to underutilization of targeted therapies and poor outcomes [28]. Thus, improving the diagnostic pathology infrastructure and making biomarker assessment universal should be regarded as priorities to improve breast cancer care in Bangladesh.</w:t>
      </w:r>
    </w:p>
    <w:p w14:paraId="25F04488" w14:textId="77777777" w:rsidR="00ED3CD5" w:rsidRDefault="001E4DF5" w:rsidP="001E4DF5">
      <w:pPr>
        <w:pStyle w:val="p2"/>
        <w:spacing w:before="0" w:beforeAutospacing="0" w:after="120" w:afterAutospacing="0" w:line="360" w:lineRule="auto"/>
        <w:jc w:val="both"/>
      </w:pPr>
      <w:r w:rsidRPr="001E4DF5">
        <w:rPr>
          <w:b/>
          <w:bCs/>
        </w:rPr>
        <w:lastRenderedPageBreak/>
        <w:t>Strength</w:t>
      </w:r>
      <w:r>
        <w:rPr>
          <w:b/>
          <w:bCs/>
        </w:rPr>
        <w:t>s</w:t>
      </w:r>
      <w:r w:rsidRPr="001E4DF5">
        <w:rPr>
          <w:b/>
          <w:bCs/>
        </w:rPr>
        <w:t xml:space="preserve"> and Limitations:</w:t>
      </w:r>
      <w:r>
        <w:t xml:space="preserve"> </w:t>
      </w:r>
      <w:r w:rsidR="00ED3CD5" w:rsidRPr="00ED3CD5">
        <w:t xml:space="preserve">The strengths of the study are that it is one of the first comparative studies of </w:t>
      </w:r>
      <w:proofErr w:type="spellStart"/>
      <w:r w:rsidR="00ED3CD5" w:rsidRPr="00ED3CD5">
        <w:t>dnMBC</w:t>
      </w:r>
      <w:proofErr w:type="spellEnd"/>
      <w:r w:rsidR="00ED3CD5" w:rsidRPr="00ED3CD5">
        <w:t xml:space="preserve"> and recurrent MBC in Bangladesh, and particularly in northern Bangladesh. It is an </w:t>
      </w:r>
      <w:proofErr w:type="spellStart"/>
      <w:r w:rsidR="00ED3CD5" w:rsidRPr="00ED3CD5">
        <w:t>ambispective</w:t>
      </w:r>
      <w:proofErr w:type="spellEnd"/>
      <w:r w:rsidR="00ED3CD5" w:rsidRPr="00ED3CD5">
        <w:t xml:space="preserve"> cohort study with consecutive patients with standardized data collection and survival analysis that can provide valuable </w:t>
      </w:r>
      <w:proofErr w:type="gramStart"/>
      <w:r w:rsidR="00ED3CD5" w:rsidRPr="00ED3CD5">
        <w:t>real world</w:t>
      </w:r>
      <w:proofErr w:type="gramEnd"/>
      <w:r w:rsidR="00ED3CD5" w:rsidRPr="00ED3CD5">
        <w:t xml:space="preserve"> evidence in a resource-limited environment. But it should be recognized that there are limitations. This is a single </w:t>
      </w:r>
      <w:proofErr w:type="spellStart"/>
      <w:r w:rsidR="00ED3CD5" w:rsidRPr="00ED3CD5">
        <w:t>centre</w:t>
      </w:r>
      <w:proofErr w:type="spellEnd"/>
      <w:r w:rsidR="00ED3CD5" w:rsidRPr="00ED3CD5">
        <w:t xml:space="preserve"> study with a small sample size, making it difficult to </w:t>
      </w:r>
      <w:proofErr w:type="spellStart"/>
      <w:r w:rsidR="00ED3CD5" w:rsidRPr="00ED3CD5">
        <w:t>generalise</w:t>
      </w:r>
      <w:proofErr w:type="spellEnd"/>
      <w:r w:rsidR="00ED3CD5" w:rsidRPr="00ED3CD5">
        <w:t xml:space="preserve"> the results. The absence of biomarker data precluded subtype analysis, and important prognostic factors such as metastasis free interval, previous therapy, performance status and genomic data were not available. Adjustments may not remove all the confounding.</w:t>
      </w:r>
    </w:p>
    <w:p w14:paraId="60BBEC52" w14:textId="4A1F1833" w:rsidR="001E4DF5" w:rsidRPr="001E4DF5" w:rsidRDefault="001E4DF5" w:rsidP="001E4DF5">
      <w:pPr>
        <w:pStyle w:val="p2"/>
        <w:spacing w:before="0" w:beforeAutospacing="0" w:after="120" w:afterAutospacing="0" w:line="360" w:lineRule="auto"/>
        <w:jc w:val="both"/>
        <w:rPr>
          <w:b/>
          <w:bCs/>
          <w:sz w:val="28"/>
          <w:szCs w:val="28"/>
        </w:rPr>
      </w:pPr>
      <w:r w:rsidRPr="001E4DF5">
        <w:rPr>
          <w:b/>
          <w:bCs/>
          <w:sz w:val="28"/>
          <w:szCs w:val="28"/>
        </w:rPr>
        <w:t>C</w:t>
      </w:r>
      <w:r w:rsidR="00835CA2" w:rsidRPr="001E4DF5">
        <w:rPr>
          <w:b/>
          <w:bCs/>
          <w:sz w:val="28"/>
          <w:szCs w:val="28"/>
        </w:rPr>
        <w:t>onclusion</w:t>
      </w:r>
    </w:p>
    <w:p w14:paraId="7E2394CC" w14:textId="77777777" w:rsidR="00ED3CD5" w:rsidRDefault="00ED3CD5" w:rsidP="001542F5">
      <w:pPr>
        <w:pStyle w:val="TableCaption"/>
        <w:keepNext/>
        <w:pBdr>
          <w:top w:val="none" w:sz="0" w:space="0" w:color="000000"/>
          <w:left w:val="none" w:sz="0" w:space="0" w:color="000000"/>
          <w:bottom w:val="none" w:sz="0" w:space="0" w:color="000000"/>
          <w:right w:val="none" w:sz="0" w:space="0" w:color="000000"/>
        </w:pBdr>
        <w:spacing w:after="120" w:line="360" w:lineRule="auto"/>
        <w:ind w:right="60"/>
        <w:jc w:val="both"/>
        <w:rPr>
          <w:b w:val="0"/>
          <w:i w:val="0"/>
        </w:rPr>
      </w:pPr>
      <w:r w:rsidRPr="00ED3CD5">
        <w:rPr>
          <w:b w:val="0"/>
          <w:i w:val="0"/>
        </w:rPr>
        <w:t xml:space="preserve">Patients with de novo and recurrent metastatic breast cancer are different in terms of characteristics and survival in Bangladesh, as evidenced in this study. Although the hormone profile was more favorable and bone metastasis more frequent, patients with </w:t>
      </w:r>
      <w:proofErr w:type="spellStart"/>
      <w:r w:rsidRPr="00ED3CD5">
        <w:rPr>
          <w:b w:val="0"/>
          <w:i w:val="0"/>
        </w:rPr>
        <w:t>dnMBC</w:t>
      </w:r>
      <w:proofErr w:type="spellEnd"/>
      <w:r w:rsidRPr="00ED3CD5">
        <w:rPr>
          <w:b w:val="0"/>
          <w:i w:val="0"/>
        </w:rPr>
        <w:t xml:space="preserve"> did worse than those with recurrence. These results differ from the findings of high-income countries and indicate that a delay in diagnosis, incomplete biomarker analysis, and lack of access to targeted therapies have a negative effect on prognosis. Better chances for metastatic breast cancer (MBC) outcomes in Bangladesh and other similar environments can be achieved through improving early diagnosis, pathology services, multidisciplinary care and access to therapies.</w:t>
      </w:r>
    </w:p>
    <w:p w14:paraId="6DA0EAF1" w14:textId="0B595BCE" w:rsidR="001542F5" w:rsidRPr="001542F5" w:rsidRDefault="001542F5" w:rsidP="001542F5">
      <w:pPr>
        <w:pStyle w:val="TableCaption"/>
        <w:keepNext/>
        <w:pBdr>
          <w:top w:val="none" w:sz="0" w:space="0" w:color="000000"/>
          <w:left w:val="none" w:sz="0" w:space="0" w:color="000000"/>
          <w:bottom w:val="none" w:sz="0" w:space="0" w:color="000000"/>
          <w:right w:val="none" w:sz="0" w:space="0" w:color="000000"/>
        </w:pBdr>
        <w:spacing w:after="120" w:line="360" w:lineRule="auto"/>
        <w:ind w:right="60"/>
        <w:jc w:val="both"/>
        <w:rPr>
          <w:i w:val="0"/>
          <w:iCs/>
          <w:sz w:val="28"/>
          <w:szCs w:val="28"/>
        </w:rPr>
      </w:pPr>
      <w:r w:rsidRPr="001542F5">
        <w:rPr>
          <w:i w:val="0"/>
          <w:iCs/>
          <w:sz w:val="28"/>
          <w:szCs w:val="28"/>
        </w:rPr>
        <w:t>Authors’ Contributions</w:t>
      </w:r>
    </w:p>
    <w:p w14:paraId="48B9ED6C" w14:textId="77777777" w:rsidR="00ED3CD5" w:rsidRDefault="00ED3CD5" w:rsidP="001542F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b w:val="0"/>
          <w:bCs/>
          <w:i w:val="0"/>
          <w:iCs/>
        </w:rPr>
      </w:pPr>
      <w:r w:rsidRPr="00ED3CD5">
        <w:rPr>
          <w:b w:val="0"/>
          <w:bCs/>
          <w:i w:val="0"/>
          <w:iCs/>
        </w:rPr>
        <w:t>Conception and design of the study: All authors. Data collection, data analysis, and interpretation of findings were carried out by the study team. The manuscript was written, reviewed critically and approved by all authors. All authors vouch for the integrity and accuracy of the work.</w:t>
      </w:r>
    </w:p>
    <w:p w14:paraId="1F8378F4" w14:textId="1A04E460" w:rsidR="001542F5" w:rsidRPr="001542F5" w:rsidRDefault="001542F5" w:rsidP="001542F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i w:val="0"/>
          <w:iCs/>
          <w:sz w:val="28"/>
          <w:szCs w:val="28"/>
        </w:rPr>
      </w:pPr>
      <w:r w:rsidRPr="001542F5">
        <w:rPr>
          <w:i w:val="0"/>
          <w:iCs/>
          <w:sz w:val="28"/>
          <w:szCs w:val="28"/>
        </w:rPr>
        <w:t>Acknowledgments</w:t>
      </w:r>
    </w:p>
    <w:p w14:paraId="4BD984A5" w14:textId="77777777" w:rsidR="00ED3CD5" w:rsidRDefault="00ED3CD5" w:rsidP="001542F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b w:val="0"/>
          <w:bCs/>
          <w:i w:val="0"/>
          <w:iCs/>
        </w:rPr>
      </w:pPr>
      <w:r w:rsidRPr="00ED3CD5">
        <w:rPr>
          <w:b w:val="0"/>
          <w:bCs/>
          <w:i w:val="0"/>
          <w:iCs/>
        </w:rPr>
        <w:t xml:space="preserve">The authors gratefully acknowledge the patients who participated in this study and also express their gratitude to the physicians and other health care staff members of the Department of </w:t>
      </w:r>
      <w:r w:rsidRPr="00ED3CD5">
        <w:rPr>
          <w:b w:val="0"/>
          <w:bCs/>
          <w:i w:val="0"/>
          <w:iCs/>
        </w:rPr>
        <w:lastRenderedPageBreak/>
        <w:t>Oncology, Rangpur Medical College Hospital and Rangpur Community Medical College &amp; Hospital, Bangladesh for their cooperation and support in collecting the data.</w:t>
      </w:r>
    </w:p>
    <w:p w14:paraId="4A487426" w14:textId="4EE89644" w:rsidR="001542F5" w:rsidRPr="001542F5" w:rsidRDefault="001542F5" w:rsidP="001542F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i w:val="0"/>
          <w:iCs/>
          <w:sz w:val="28"/>
          <w:szCs w:val="28"/>
        </w:rPr>
      </w:pPr>
      <w:r w:rsidRPr="001542F5">
        <w:rPr>
          <w:i w:val="0"/>
          <w:iCs/>
          <w:sz w:val="28"/>
          <w:szCs w:val="28"/>
        </w:rPr>
        <w:t>Disclosure</w:t>
      </w:r>
    </w:p>
    <w:p w14:paraId="37799DDB" w14:textId="77777777" w:rsidR="00ED3CD5" w:rsidRDefault="00ED3CD5" w:rsidP="001542F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b w:val="0"/>
          <w:bCs/>
          <w:i w:val="0"/>
          <w:iCs/>
        </w:rPr>
      </w:pPr>
      <w:r w:rsidRPr="00ED3CD5">
        <w:rPr>
          <w:b w:val="0"/>
          <w:bCs/>
          <w:i w:val="0"/>
          <w:iCs/>
        </w:rPr>
        <w:t>The authors have no conflict of interest or competing interests to declare.</w:t>
      </w:r>
    </w:p>
    <w:p w14:paraId="698B5854" w14:textId="260C0DC9" w:rsidR="001542F5" w:rsidRPr="001542F5" w:rsidRDefault="001542F5" w:rsidP="001542F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i w:val="0"/>
          <w:iCs/>
          <w:sz w:val="28"/>
          <w:szCs w:val="28"/>
        </w:rPr>
      </w:pPr>
      <w:r w:rsidRPr="001542F5">
        <w:rPr>
          <w:i w:val="0"/>
          <w:iCs/>
          <w:sz w:val="28"/>
          <w:szCs w:val="28"/>
        </w:rPr>
        <w:t>Funding</w:t>
      </w:r>
    </w:p>
    <w:p w14:paraId="7DB7BA42" w14:textId="2038F0EA" w:rsidR="00864092" w:rsidRDefault="00ED3CD5" w:rsidP="00ED3CD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b w:val="0"/>
          <w:bCs/>
          <w:i w:val="0"/>
          <w:iCs/>
        </w:rPr>
      </w:pPr>
      <w:r w:rsidRPr="00ED3CD5">
        <w:rPr>
          <w:b w:val="0"/>
          <w:bCs/>
          <w:i w:val="0"/>
          <w:iCs/>
        </w:rPr>
        <w:t>No particular grant was received from any funding agency, public, commercial or not-for-profit, for this study.</w:t>
      </w:r>
    </w:p>
    <w:p w14:paraId="323A56FE" w14:textId="77777777" w:rsidR="00B113B5" w:rsidRDefault="00B113B5" w:rsidP="00ED3CD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b w:val="0"/>
          <w:bCs/>
          <w:i w:val="0"/>
          <w:iCs/>
        </w:rPr>
      </w:pPr>
    </w:p>
    <w:p w14:paraId="678A7269" w14:textId="77777777" w:rsidR="00B113B5" w:rsidRPr="00220065" w:rsidRDefault="00B113B5" w:rsidP="00B113B5">
      <w:pPr>
        <w:pStyle w:val="TableCaption"/>
        <w:keepNext/>
        <w:pBdr>
          <w:top w:val="none" w:sz="0" w:space="0" w:color="000000"/>
          <w:left w:val="none" w:sz="0" w:space="0" w:color="000000"/>
          <w:bottom w:val="none" w:sz="0" w:space="0" w:color="000000"/>
          <w:right w:val="none" w:sz="0" w:space="0" w:color="000000"/>
        </w:pBdr>
        <w:spacing w:after="120" w:line="360" w:lineRule="auto"/>
        <w:ind w:right="60"/>
        <w:jc w:val="both"/>
        <w:rPr>
          <w:i w:val="0"/>
          <w:iCs/>
          <w:sz w:val="28"/>
          <w:szCs w:val="28"/>
        </w:rPr>
      </w:pPr>
      <w:r w:rsidRPr="00220065">
        <w:rPr>
          <w:i w:val="0"/>
          <w:iCs/>
          <w:sz w:val="28"/>
          <w:szCs w:val="28"/>
        </w:rPr>
        <w:t>References</w:t>
      </w:r>
    </w:p>
    <w:p w14:paraId="455415B6" w14:textId="77777777" w:rsidR="00B113B5" w:rsidRPr="002A17B0" w:rsidRDefault="00B113B5" w:rsidP="00B113B5">
      <w:pPr>
        <w:numPr>
          <w:ilvl w:val="0"/>
          <w:numId w:val="6"/>
        </w:numPr>
        <w:shd w:val="clear" w:color="auto" w:fill="FFFFFF" w:themeFill="background1"/>
        <w:spacing w:after="120" w:line="276" w:lineRule="auto"/>
        <w:jc w:val="both"/>
        <w:rPr>
          <w:color w:val="000000" w:themeColor="text1"/>
          <w:sz w:val="22"/>
          <w:szCs w:val="22"/>
        </w:rPr>
      </w:pPr>
      <w:r w:rsidRPr="002A17B0">
        <w:rPr>
          <w:color w:val="000000" w:themeColor="text1"/>
          <w:sz w:val="22"/>
          <w:szCs w:val="22"/>
        </w:rPr>
        <w:t xml:space="preserve">Alam, N. E., Islam, Md. S., Ullah, H., Molla, Md. T., </w:t>
      </w:r>
      <w:proofErr w:type="spellStart"/>
      <w:r w:rsidRPr="002A17B0">
        <w:rPr>
          <w:color w:val="000000" w:themeColor="text1"/>
          <w:sz w:val="22"/>
          <w:szCs w:val="22"/>
        </w:rPr>
        <w:t>Shifat</w:t>
      </w:r>
      <w:proofErr w:type="spellEnd"/>
      <w:r w:rsidRPr="002A17B0">
        <w:rPr>
          <w:color w:val="000000" w:themeColor="text1"/>
          <w:sz w:val="22"/>
          <w:szCs w:val="22"/>
        </w:rPr>
        <w:t xml:space="preserve">, S. K., Akter, S., Aktar, S., Khatun, </w:t>
      </w:r>
      <w:proofErr w:type="spellStart"/>
      <w:r w:rsidRPr="002A17B0">
        <w:rPr>
          <w:color w:val="000000" w:themeColor="text1"/>
          <w:sz w:val="22"/>
          <w:szCs w:val="22"/>
        </w:rPr>
        <w:t>Mst</w:t>
      </w:r>
      <w:proofErr w:type="spellEnd"/>
      <w:r w:rsidRPr="002A17B0">
        <w:rPr>
          <w:color w:val="000000" w:themeColor="text1"/>
          <w:sz w:val="22"/>
          <w:szCs w:val="22"/>
        </w:rPr>
        <w:t>. M., Ali, Md. R., Sen, T. C., Chowdhury, K., Pervin, R., &amp; Mohiuddin, A. K. M. (2021). Evaluation of knowledge, awareness and attitudes towards breast cancer risk factors and early detection among females in Bangladesh: A hospital based cross-sectional study. </w:t>
      </w:r>
      <w:proofErr w:type="spellStart"/>
      <w:r w:rsidRPr="002A17B0">
        <w:rPr>
          <w:i/>
          <w:iCs/>
          <w:color w:val="000000" w:themeColor="text1"/>
          <w:sz w:val="22"/>
          <w:szCs w:val="22"/>
        </w:rPr>
        <w:t>PLoS</w:t>
      </w:r>
      <w:proofErr w:type="spellEnd"/>
      <w:r w:rsidRPr="002A17B0">
        <w:rPr>
          <w:i/>
          <w:iCs/>
          <w:color w:val="000000" w:themeColor="text1"/>
          <w:sz w:val="22"/>
          <w:szCs w:val="22"/>
        </w:rPr>
        <w:t xml:space="preserve"> ONE</w:t>
      </w:r>
      <w:r w:rsidRPr="002A17B0">
        <w:rPr>
          <w:color w:val="000000" w:themeColor="text1"/>
          <w:sz w:val="22"/>
          <w:szCs w:val="22"/>
        </w:rPr>
        <w:t>, </w:t>
      </w:r>
      <w:r w:rsidRPr="002A17B0">
        <w:rPr>
          <w:i/>
          <w:iCs/>
          <w:color w:val="000000" w:themeColor="text1"/>
          <w:sz w:val="22"/>
          <w:szCs w:val="22"/>
        </w:rPr>
        <w:t>16</w:t>
      </w:r>
      <w:r w:rsidRPr="002A17B0">
        <w:rPr>
          <w:color w:val="000000" w:themeColor="text1"/>
          <w:sz w:val="22"/>
          <w:szCs w:val="22"/>
        </w:rPr>
        <w:t>(9). </w:t>
      </w:r>
      <w:hyperlink r:id="rId9" w:tgtFrame="_blank" w:history="1">
        <w:r w:rsidRPr="002A17B0">
          <w:rPr>
            <w:rStyle w:val="Hyperlink"/>
            <w:color w:val="000000" w:themeColor="text1"/>
            <w:sz w:val="22"/>
            <w:szCs w:val="22"/>
            <w:u w:val="none"/>
          </w:rPr>
          <w:t>https://doi.org/10.1371/journal.pone.0257271</w:t>
        </w:r>
      </w:hyperlink>
    </w:p>
    <w:p w14:paraId="45D1D2B7" w14:textId="77777777" w:rsidR="00B113B5" w:rsidRPr="002A17B0" w:rsidRDefault="00B113B5" w:rsidP="00B113B5">
      <w:pPr>
        <w:numPr>
          <w:ilvl w:val="0"/>
          <w:numId w:val="6"/>
        </w:numPr>
        <w:shd w:val="clear" w:color="auto" w:fill="FFFFFF" w:themeFill="background1"/>
        <w:spacing w:after="120" w:line="276" w:lineRule="auto"/>
        <w:jc w:val="both"/>
        <w:rPr>
          <w:color w:val="000000" w:themeColor="text1"/>
          <w:sz w:val="22"/>
          <w:szCs w:val="22"/>
        </w:rPr>
      </w:pPr>
      <w:r w:rsidRPr="002A17B0">
        <w:rPr>
          <w:color w:val="000000" w:themeColor="text1"/>
          <w:sz w:val="22"/>
          <w:szCs w:val="22"/>
        </w:rPr>
        <w:t xml:space="preserve">Islam, K. F., Awal, A., Shaon, F. T. U., Hossain, Md. B., Samson, A., Momo, J. S., Hasan, M., Hanif, A. A. M., Mahmud, I., &amp; </w:t>
      </w:r>
      <w:proofErr w:type="spellStart"/>
      <w:r w:rsidRPr="002A17B0">
        <w:rPr>
          <w:color w:val="000000" w:themeColor="text1"/>
          <w:sz w:val="22"/>
          <w:szCs w:val="22"/>
        </w:rPr>
        <w:t>Mridha</w:t>
      </w:r>
      <w:proofErr w:type="spellEnd"/>
      <w:r w:rsidRPr="002A17B0">
        <w:rPr>
          <w:color w:val="000000" w:themeColor="text1"/>
          <w:sz w:val="22"/>
          <w:szCs w:val="22"/>
        </w:rPr>
        <w:t>, M. K. (2022). Assessment of quality of life of breast cancer patients attending a tertiary hospital in Bangladesh. In </w:t>
      </w:r>
      <w:proofErr w:type="spellStart"/>
      <w:r w:rsidRPr="002A17B0">
        <w:rPr>
          <w:i/>
          <w:iCs/>
          <w:color w:val="000000" w:themeColor="text1"/>
          <w:sz w:val="22"/>
          <w:szCs w:val="22"/>
        </w:rPr>
        <w:t>medRxiv</w:t>
      </w:r>
      <w:proofErr w:type="spellEnd"/>
      <w:r w:rsidRPr="002A17B0">
        <w:rPr>
          <w:color w:val="000000" w:themeColor="text1"/>
          <w:sz w:val="22"/>
          <w:szCs w:val="22"/>
        </w:rPr>
        <w:t>. </w:t>
      </w:r>
      <w:hyperlink r:id="rId10" w:tgtFrame="_blank" w:history="1">
        <w:r w:rsidRPr="002A17B0">
          <w:rPr>
            <w:rStyle w:val="Hyperlink"/>
            <w:color w:val="000000" w:themeColor="text1"/>
            <w:sz w:val="22"/>
            <w:szCs w:val="22"/>
            <w:u w:val="none"/>
          </w:rPr>
          <w:t>https://doi.org/10.1101/2022.12.02.22283032</w:t>
        </w:r>
      </w:hyperlink>
    </w:p>
    <w:p w14:paraId="1D8D8A07" w14:textId="77777777" w:rsidR="00B113B5" w:rsidRPr="002A17B0" w:rsidRDefault="00B113B5" w:rsidP="00B113B5">
      <w:pPr>
        <w:numPr>
          <w:ilvl w:val="0"/>
          <w:numId w:val="6"/>
        </w:numPr>
        <w:shd w:val="clear" w:color="auto" w:fill="FFFFFF" w:themeFill="background1"/>
        <w:spacing w:after="120" w:line="276" w:lineRule="auto"/>
        <w:jc w:val="both"/>
        <w:rPr>
          <w:color w:val="000000" w:themeColor="text1"/>
          <w:sz w:val="22"/>
          <w:szCs w:val="22"/>
        </w:rPr>
      </w:pPr>
      <w:r w:rsidRPr="002A17B0">
        <w:rPr>
          <w:color w:val="000000" w:themeColor="text1"/>
          <w:sz w:val="22"/>
          <w:szCs w:val="22"/>
        </w:rPr>
        <w:t xml:space="preserve">Noman, A. S. M., Uddin, M., Rahman, Md. Z., Nayeem, M., Alam, S., Khatun, Z., </w:t>
      </w:r>
      <w:proofErr w:type="spellStart"/>
      <w:r w:rsidRPr="002A17B0">
        <w:rPr>
          <w:color w:val="000000" w:themeColor="text1"/>
          <w:sz w:val="22"/>
          <w:szCs w:val="22"/>
        </w:rPr>
        <w:t>Wahiduzzaman</w:t>
      </w:r>
      <w:proofErr w:type="spellEnd"/>
      <w:r w:rsidRPr="002A17B0">
        <w:rPr>
          <w:color w:val="000000" w:themeColor="text1"/>
          <w:sz w:val="22"/>
          <w:szCs w:val="22"/>
        </w:rPr>
        <w:t xml:space="preserve">, M., Sultana, A., Rahman, M. L., Ali, M. Y., Barua, D., Ahmed, I., Islam, M. S., </w:t>
      </w:r>
      <w:proofErr w:type="spellStart"/>
      <w:r w:rsidRPr="002A17B0">
        <w:rPr>
          <w:color w:val="000000" w:themeColor="text1"/>
          <w:sz w:val="22"/>
          <w:szCs w:val="22"/>
        </w:rPr>
        <w:t>Aboussekhra</w:t>
      </w:r>
      <w:proofErr w:type="spellEnd"/>
      <w:r w:rsidRPr="002A17B0">
        <w:rPr>
          <w:color w:val="000000" w:themeColor="text1"/>
          <w:sz w:val="22"/>
          <w:szCs w:val="22"/>
        </w:rPr>
        <w:t>, A., Yeger, H., Farhat, W. A., &amp; Islam, S. S. (2016). Overexpression of sonic hedgehog in the triple negative breast cancer: clinicopathological characteristics of high burden breast cancer patients from Bangladesh. </w:t>
      </w:r>
      <w:r w:rsidRPr="002A17B0">
        <w:rPr>
          <w:i/>
          <w:iCs/>
          <w:color w:val="000000" w:themeColor="text1"/>
          <w:sz w:val="22"/>
          <w:szCs w:val="22"/>
        </w:rPr>
        <w:t>Scientific Reports</w:t>
      </w:r>
      <w:r w:rsidRPr="002A17B0">
        <w:rPr>
          <w:color w:val="000000" w:themeColor="text1"/>
          <w:sz w:val="22"/>
          <w:szCs w:val="22"/>
        </w:rPr>
        <w:t>, </w:t>
      </w:r>
      <w:r w:rsidRPr="002A17B0">
        <w:rPr>
          <w:i/>
          <w:iCs/>
          <w:color w:val="000000" w:themeColor="text1"/>
          <w:sz w:val="22"/>
          <w:szCs w:val="22"/>
        </w:rPr>
        <w:t>6</w:t>
      </w:r>
      <w:r w:rsidRPr="002A17B0">
        <w:rPr>
          <w:color w:val="000000" w:themeColor="text1"/>
          <w:sz w:val="22"/>
          <w:szCs w:val="22"/>
        </w:rPr>
        <w:t>(1), 18830–18830. </w:t>
      </w:r>
      <w:hyperlink r:id="rId11" w:tgtFrame="_blank" w:history="1">
        <w:r w:rsidRPr="002A17B0">
          <w:rPr>
            <w:rStyle w:val="Hyperlink"/>
            <w:color w:val="000000" w:themeColor="text1"/>
            <w:sz w:val="22"/>
            <w:szCs w:val="22"/>
            <w:u w:val="none"/>
          </w:rPr>
          <w:t>https://doi.org/10.1038/srep18830</w:t>
        </w:r>
      </w:hyperlink>
    </w:p>
    <w:p w14:paraId="59F4F653" w14:textId="77777777" w:rsidR="00B113B5" w:rsidRPr="002A17B0" w:rsidRDefault="00B113B5" w:rsidP="00B113B5">
      <w:pPr>
        <w:numPr>
          <w:ilvl w:val="0"/>
          <w:numId w:val="6"/>
        </w:numPr>
        <w:shd w:val="clear" w:color="auto" w:fill="FFFFFF" w:themeFill="background1"/>
        <w:spacing w:after="120" w:line="276" w:lineRule="auto"/>
        <w:jc w:val="both"/>
        <w:rPr>
          <w:color w:val="000000" w:themeColor="text1"/>
          <w:sz w:val="22"/>
          <w:szCs w:val="22"/>
        </w:rPr>
      </w:pPr>
      <w:r w:rsidRPr="002A17B0">
        <w:rPr>
          <w:color w:val="000000" w:themeColor="text1"/>
          <w:sz w:val="22"/>
          <w:szCs w:val="22"/>
        </w:rPr>
        <w:t>Arman, K. A., Hossain, K., Banik, R., &amp; Dowel, I. J. (2025). The Incidence Pattern of Cancer Patients Visiting a Tertiary Level Hospital in Dhaka, Bangladesh. </w:t>
      </w:r>
      <w:r w:rsidRPr="002A17B0">
        <w:rPr>
          <w:i/>
          <w:iCs/>
          <w:color w:val="000000" w:themeColor="text1"/>
          <w:sz w:val="22"/>
          <w:szCs w:val="22"/>
        </w:rPr>
        <w:t>SAS Journal of Medicine</w:t>
      </w:r>
      <w:r w:rsidRPr="002A17B0">
        <w:rPr>
          <w:color w:val="000000" w:themeColor="text1"/>
          <w:sz w:val="22"/>
          <w:szCs w:val="22"/>
        </w:rPr>
        <w:t>, </w:t>
      </w:r>
      <w:r w:rsidRPr="002A17B0">
        <w:rPr>
          <w:i/>
          <w:iCs/>
          <w:color w:val="000000" w:themeColor="text1"/>
          <w:sz w:val="22"/>
          <w:szCs w:val="22"/>
        </w:rPr>
        <w:t>11</w:t>
      </w:r>
      <w:r w:rsidRPr="002A17B0">
        <w:rPr>
          <w:color w:val="000000" w:themeColor="text1"/>
          <w:sz w:val="22"/>
          <w:szCs w:val="22"/>
        </w:rPr>
        <w:t>(1), 90–95. </w:t>
      </w:r>
      <w:hyperlink r:id="rId12" w:tgtFrame="_blank" w:history="1">
        <w:r w:rsidRPr="002A17B0">
          <w:rPr>
            <w:rStyle w:val="Hyperlink"/>
            <w:color w:val="000000" w:themeColor="text1"/>
            <w:sz w:val="22"/>
            <w:szCs w:val="22"/>
            <w:u w:val="none"/>
          </w:rPr>
          <w:t>https://doi.org/10.36347/sasjm.2025.v11i01.017</w:t>
        </w:r>
      </w:hyperlink>
    </w:p>
    <w:p w14:paraId="259AA871" w14:textId="77777777" w:rsidR="00B113B5" w:rsidRPr="002A17B0" w:rsidRDefault="00B113B5" w:rsidP="00B113B5">
      <w:pPr>
        <w:numPr>
          <w:ilvl w:val="0"/>
          <w:numId w:val="6"/>
        </w:numPr>
        <w:shd w:val="clear" w:color="auto" w:fill="FFFFFF" w:themeFill="background1"/>
        <w:spacing w:after="120" w:line="276" w:lineRule="auto"/>
        <w:jc w:val="both"/>
        <w:rPr>
          <w:color w:val="000000" w:themeColor="text1"/>
          <w:sz w:val="22"/>
          <w:szCs w:val="22"/>
        </w:rPr>
      </w:pPr>
      <w:r w:rsidRPr="002A17B0">
        <w:rPr>
          <w:color w:val="000000" w:themeColor="text1"/>
          <w:sz w:val="22"/>
          <w:szCs w:val="22"/>
        </w:rPr>
        <w:t xml:space="preserve">Maar, J. S. de, </w:t>
      </w:r>
      <w:proofErr w:type="spellStart"/>
      <w:r w:rsidRPr="002A17B0">
        <w:rPr>
          <w:color w:val="000000" w:themeColor="text1"/>
          <w:sz w:val="22"/>
          <w:szCs w:val="22"/>
        </w:rPr>
        <w:t>Luyendijk</w:t>
      </w:r>
      <w:proofErr w:type="spellEnd"/>
      <w:r w:rsidRPr="002A17B0">
        <w:rPr>
          <w:color w:val="000000" w:themeColor="text1"/>
          <w:sz w:val="22"/>
          <w:szCs w:val="22"/>
        </w:rPr>
        <w:t xml:space="preserve">, M., Suelmann, B. B. M., Kruijssen, D. E. W. van der, Elias, S. G., </w:t>
      </w:r>
      <w:proofErr w:type="spellStart"/>
      <w:r w:rsidRPr="002A17B0">
        <w:rPr>
          <w:color w:val="000000" w:themeColor="text1"/>
          <w:sz w:val="22"/>
          <w:szCs w:val="22"/>
        </w:rPr>
        <w:t>Siesling</w:t>
      </w:r>
      <w:proofErr w:type="spellEnd"/>
      <w:r w:rsidRPr="002A17B0">
        <w:rPr>
          <w:color w:val="000000" w:themeColor="text1"/>
          <w:sz w:val="22"/>
          <w:szCs w:val="22"/>
        </w:rPr>
        <w:t xml:space="preserve">, S., &amp; Wall, E. van der. (2023). Comparison between de novo and metachronous metastatic breast cancer: the presence of a primary </w:t>
      </w:r>
      <w:proofErr w:type="spellStart"/>
      <w:r w:rsidRPr="002A17B0">
        <w:rPr>
          <w:color w:val="000000" w:themeColor="text1"/>
          <w:sz w:val="22"/>
          <w:szCs w:val="22"/>
        </w:rPr>
        <w:t>tumour</w:t>
      </w:r>
      <w:proofErr w:type="spellEnd"/>
      <w:r w:rsidRPr="002A17B0">
        <w:rPr>
          <w:color w:val="000000" w:themeColor="text1"/>
          <w:sz w:val="22"/>
          <w:szCs w:val="22"/>
        </w:rPr>
        <w:t xml:space="preserve"> is not the only difference—a Dutch population-based study from 2008 to 2018. </w:t>
      </w:r>
      <w:r w:rsidRPr="002A17B0">
        <w:rPr>
          <w:i/>
          <w:iCs/>
          <w:color w:val="000000" w:themeColor="text1"/>
          <w:sz w:val="22"/>
          <w:szCs w:val="22"/>
        </w:rPr>
        <w:t>University of Twente Research Information</w:t>
      </w:r>
      <w:r w:rsidRPr="002A17B0">
        <w:rPr>
          <w:color w:val="000000" w:themeColor="text1"/>
          <w:sz w:val="22"/>
          <w:szCs w:val="22"/>
        </w:rPr>
        <w:t>, </w:t>
      </w:r>
      <w:r w:rsidRPr="002A17B0">
        <w:rPr>
          <w:i/>
          <w:iCs/>
          <w:color w:val="000000" w:themeColor="text1"/>
          <w:sz w:val="22"/>
          <w:szCs w:val="22"/>
        </w:rPr>
        <w:t>198</w:t>
      </w:r>
      <w:r w:rsidRPr="002A17B0">
        <w:rPr>
          <w:color w:val="000000" w:themeColor="text1"/>
          <w:sz w:val="22"/>
          <w:szCs w:val="22"/>
        </w:rPr>
        <w:t>(2), 253–264. </w:t>
      </w:r>
      <w:hyperlink r:id="rId13" w:tgtFrame="_blank" w:history="1">
        <w:r w:rsidRPr="002A17B0">
          <w:rPr>
            <w:rStyle w:val="Hyperlink"/>
            <w:color w:val="000000" w:themeColor="text1"/>
            <w:sz w:val="22"/>
            <w:szCs w:val="22"/>
            <w:u w:val="none"/>
          </w:rPr>
          <w:t>https://doi.org/10.1007/s10549-022-06837-4</w:t>
        </w:r>
      </w:hyperlink>
    </w:p>
    <w:p w14:paraId="393CCC2C" w14:textId="77777777" w:rsidR="00B113B5" w:rsidRPr="002A17B0" w:rsidRDefault="00B113B5" w:rsidP="00B113B5">
      <w:pPr>
        <w:numPr>
          <w:ilvl w:val="0"/>
          <w:numId w:val="6"/>
        </w:numPr>
        <w:shd w:val="clear" w:color="auto" w:fill="FFFFFF" w:themeFill="background1"/>
        <w:spacing w:after="120" w:line="276" w:lineRule="auto"/>
        <w:jc w:val="both"/>
        <w:rPr>
          <w:color w:val="000000" w:themeColor="text1"/>
          <w:sz w:val="22"/>
          <w:szCs w:val="22"/>
        </w:rPr>
      </w:pPr>
      <w:r w:rsidRPr="002A17B0">
        <w:rPr>
          <w:color w:val="000000" w:themeColor="text1"/>
          <w:sz w:val="22"/>
          <w:szCs w:val="22"/>
        </w:rPr>
        <w:t>Wang, R., Zhu, Y., Liu, X., Liao, X., He, J., &amp; Niu, L. (2019). The Clinicopathological features and survival outcomes of patients with different metastatic sites in stage IV breast cancer. </w:t>
      </w:r>
      <w:r w:rsidRPr="002A17B0">
        <w:rPr>
          <w:i/>
          <w:iCs/>
          <w:color w:val="000000" w:themeColor="text1"/>
          <w:sz w:val="22"/>
          <w:szCs w:val="22"/>
        </w:rPr>
        <w:t>BMC Cancer</w:t>
      </w:r>
      <w:r w:rsidRPr="002A17B0">
        <w:rPr>
          <w:color w:val="000000" w:themeColor="text1"/>
          <w:sz w:val="22"/>
          <w:szCs w:val="22"/>
        </w:rPr>
        <w:t>, </w:t>
      </w:r>
      <w:r w:rsidRPr="002A17B0">
        <w:rPr>
          <w:i/>
          <w:iCs/>
          <w:color w:val="000000" w:themeColor="text1"/>
          <w:sz w:val="22"/>
          <w:szCs w:val="22"/>
        </w:rPr>
        <w:t>19</w:t>
      </w:r>
      <w:r w:rsidRPr="002A17B0">
        <w:rPr>
          <w:color w:val="000000" w:themeColor="text1"/>
          <w:sz w:val="22"/>
          <w:szCs w:val="22"/>
        </w:rPr>
        <w:t>(1), 1091–1091. </w:t>
      </w:r>
      <w:hyperlink r:id="rId14" w:tgtFrame="_blank" w:history="1">
        <w:r w:rsidRPr="002A17B0">
          <w:rPr>
            <w:rStyle w:val="Hyperlink"/>
            <w:color w:val="000000" w:themeColor="text1"/>
            <w:sz w:val="22"/>
            <w:szCs w:val="22"/>
            <w:u w:val="none"/>
          </w:rPr>
          <w:t>https://doi.org/10.1186/s12885-019-6311-z</w:t>
        </w:r>
      </w:hyperlink>
    </w:p>
    <w:p w14:paraId="6C7174A5" w14:textId="77777777" w:rsidR="00B113B5" w:rsidRPr="002A17B0" w:rsidRDefault="00B113B5" w:rsidP="00B113B5">
      <w:pPr>
        <w:numPr>
          <w:ilvl w:val="0"/>
          <w:numId w:val="6"/>
        </w:numPr>
        <w:shd w:val="clear" w:color="auto" w:fill="FFFFFF" w:themeFill="background1"/>
        <w:spacing w:after="120" w:line="276" w:lineRule="auto"/>
        <w:jc w:val="both"/>
        <w:rPr>
          <w:color w:val="000000" w:themeColor="text1"/>
          <w:sz w:val="22"/>
          <w:szCs w:val="22"/>
        </w:rPr>
      </w:pPr>
      <w:r w:rsidRPr="002A17B0">
        <w:rPr>
          <w:color w:val="000000" w:themeColor="text1"/>
          <w:sz w:val="22"/>
          <w:szCs w:val="22"/>
        </w:rPr>
        <w:t>Zhang, L., Li, Z., Zhang, J., Wu, Y., Zhu, Y., &amp; Tong, Z. (2020). De</w:t>
      </w:r>
      <w:r>
        <w:rPr>
          <w:color w:val="000000" w:themeColor="text1"/>
          <w:sz w:val="22"/>
          <w:szCs w:val="22"/>
        </w:rPr>
        <w:t xml:space="preserve"> </w:t>
      </w:r>
      <w:r w:rsidRPr="002A17B0">
        <w:rPr>
          <w:color w:val="000000" w:themeColor="text1"/>
          <w:sz w:val="22"/>
          <w:szCs w:val="22"/>
        </w:rPr>
        <w:t>novo metastatic breast cancer: Subgroup analysis of molecular subtypes and prognosis. </w:t>
      </w:r>
      <w:r w:rsidRPr="002A17B0">
        <w:rPr>
          <w:i/>
          <w:iCs/>
          <w:color w:val="000000" w:themeColor="text1"/>
          <w:sz w:val="22"/>
          <w:szCs w:val="22"/>
        </w:rPr>
        <w:t>Oncology Letters</w:t>
      </w:r>
      <w:r w:rsidRPr="002A17B0">
        <w:rPr>
          <w:color w:val="000000" w:themeColor="text1"/>
          <w:sz w:val="22"/>
          <w:szCs w:val="22"/>
        </w:rPr>
        <w:t>, </w:t>
      </w:r>
      <w:r w:rsidRPr="002A17B0">
        <w:rPr>
          <w:i/>
          <w:iCs/>
          <w:color w:val="000000" w:themeColor="text1"/>
          <w:sz w:val="22"/>
          <w:szCs w:val="22"/>
        </w:rPr>
        <w:t>19</w:t>
      </w:r>
      <w:r w:rsidRPr="002A17B0">
        <w:rPr>
          <w:color w:val="000000" w:themeColor="text1"/>
          <w:sz w:val="22"/>
          <w:szCs w:val="22"/>
        </w:rPr>
        <w:t>(4), 2884–2894. </w:t>
      </w:r>
      <w:hyperlink r:id="rId15" w:tgtFrame="_blank" w:history="1">
        <w:r w:rsidRPr="002A17B0">
          <w:rPr>
            <w:rStyle w:val="Hyperlink"/>
            <w:color w:val="000000" w:themeColor="text1"/>
            <w:sz w:val="22"/>
            <w:szCs w:val="22"/>
            <w:u w:val="none"/>
          </w:rPr>
          <w:t>https://doi.org/10.3892/ol.2020.11359</w:t>
        </w:r>
      </w:hyperlink>
    </w:p>
    <w:p w14:paraId="5794D4C7" w14:textId="77777777" w:rsidR="00B113B5" w:rsidRPr="002A17B0" w:rsidRDefault="00B113B5" w:rsidP="00B113B5">
      <w:pPr>
        <w:numPr>
          <w:ilvl w:val="0"/>
          <w:numId w:val="6"/>
        </w:numPr>
        <w:shd w:val="clear" w:color="auto" w:fill="FFFFFF" w:themeFill="background1"/>
        <w:spacing w:after="120" w:line="276" w:lineRule="auto"/>
        <w:jc w:val="both"/>
        <w:rPr>
          <w:color w:val="000000" w:themeColor="text1"/>
          <w:sz w:val="22"/>
          <w:szCs w:val="22"/>
        </w:rPr>
      </w:pPr>
      <w:r w:rsidRPr="002A17B0">
        <w:rPr>
          <w:color w:val="000000" w:themeColor="text1"/>
          <w:sz w:val="22"/>
          <w:szCs w:val="22"/>
        </w:rPr>
        <w:lastRenderedPageBreak/>
        <w:t xml:space="preserve">Poggio, F., Lambertini, M., &amp; Azambuja, E. de. (2018). Controversies in Oncology: Surgery of the primary </w:t>
      </w:r>
      <w:proofErr w:type="spellStart"/>
      <w:r w:rsidRPr="002A17B0">
        <w:rPr>
          <w:color w:val="000000" w:themeColor="text1"/>
          <w:sz w:val="22"/>
          <w:szCs w:val="22"/>
        </w:rPr>
        <w:t>tumour</w:t>
      </w:r>
      <w:proofErr w:type="spellEnd"/>
      <w:r w:rsidRPr="002A17B0">
        <w:rPr>
          <w:color w:val="000000" w:themeColor="text1"/>
          <w:sz w:val="22"/>
          <w:szCs w:val="22"/>
        </w:rPr>
        <w:t xml:space="preserve"> in patients presenting with de novo metastatic breast cancer: to do or not to do? </w:t>
      </w:r>
      <w:r w:rsidRPr="002A17B0">
        <w:rPr>
          <w:i/>
          <w:iCs/>
          <w:color w:val="000000" w:themeColor="text1"/>
          <w:sz w:val="22"/>
          <w:szCs w:val="22"/>
        </w:rPr>
        <w:t>ESMO Open</w:t>
      </w:r>
      <w:r w:rsidRPr="002A17B0">
        <w:rPr>
          <w:color w:val="000000" w:themeColor="text1"/>
          <w:sz w:val="22"/>
          <w:szCs w:val="22"/>
        </w:rPr>
        <w:t>, </w:t>
      </w:r>
      <w:r w:rsidRPr="002A17B0">
        <w:rPr>
          <w:i/>
          <w:iCs/>
          <w:color w:val="000000" w:themeColor="text1"/>
          <w:sz w:val="22"/>
          <w:szCs w:val="22"/>
        </w:rPr>
        <w:t>3</w:t>
      </w:r>
      <w:r w:rsidRPr="002A17B0">
        <w:rPr>
          <w:color w:val="000000" w:themeColor="text1"/>
          <w:sz w:val="22"/>
          <w:szCs w:val="22"/>
        </w:rPr>
        <w:t>(1). </w:t>
      </w:r>
      <w:hyperlink r:id="rId16" w:tgtFrame="_blank" w:history="1">
        <w:r w:rsidRPr="002A17B0">
          <w:rPr>
            <w:rStyle w:val="Hyperlink"/>
            <w:color w:val="000000" w:themeColor="text1"/>
            <w:sz w:val="22"/>
            <w:szCs w:val="22"/>
            <w:u w:val="none"/>
          </w:rPr>
          <w:t>https://doi.org/10.1136/esmoopen-2018-000324</w:t>
        </w:r>
      </w:hyperlink>
    </w:p>
    <w:p w14:paraId="03B3B348" w14:textId="77777777" w:rsidR="00B113B5" w:rsidRPr="002A17B0" w:rsidRDefault="00B113B5" w:rsidP="00B113B5">
      <w:pPr>
        <w:numPr>
          <w:ilvl w:val="0"/>
          <w:numId w:val="6"/>
        </w:numPr>
        <w:shd w:val="clear" w:color="auto" w:fill="FFFFFF" w:themeFill="background1"/>
        <w:spacing w:after="120" w:line="276" w:lineRule="auto"/>
        <w:jc w:val="both"/>
        <w:rPr>
          <w:color w:val="000000" w:themeColor="text1"/>
          <w:sz w:val="22"/>
          <w:szCs w:val="22"/>
        </w:rPr>
      </w:pPr>
      <w:proofErr w:type="spellStart"/>
      <w:r w:rsidRPr="002A17B0">
        <w:rPr>
          <w:color w:val="000000" w:themeColor="text1"/>
          <w:sz w:val="22"/>
          <w:szCs w:val="22"/>
        </w:rPr>
        <w:t>Ar</w:t>
      </w:r>
      <w:proofErr w:type="spellEnd"/>
      <w:r w:rsidRPr="002A17B0">
        <w:rPr>
          <w:color w:val="000000" w:themeColor="text1"/>
          <w:sz w:val="22"/>
          <w:szCs w:val="22"/>
        </w:rPr>
        <w:t xml:space="preserve">, M. C., </w:t>
      </w:r>
      <w:proofErr w:type="spellStart"/>
      <w:r w:rsidRPr="002A17B0">
        <w:rPr>
          <w:color w:val="000000" w:themeColor="text1"/>
          <w:sz w:val="22"/>
          <w:szCs w:val="22"/>
        </w:rPr>
        <w:t>lmaz</w:t>
      </w:r>
      <w:proofErr w:type="spellEnd"/>
      <w:r w:rsidRPr="002A17B0">
        <w:rPr>
          <w:color w:val="000000" w:themeColor="text1"/>
          <w:sz w:val="22"/>
          <w:szCs w:val="22"/>
        </w:rPr>
        <w:t xml:space="preserve">, </w:t>
      </w:r>
      <w:proofErr w:type="spellStart"/>
      <w:r w:rsidRPr="002A17B0">
        <w:rPr>
          <w:color w:val="000000" w:themeColor="text1"/>
          <w:sz w:val="22"/>
          <w:szCs w:val="22"/>
        </w:rPr>
        <w:t>mukaddes</w:t>
      </w:r>
      <w:proofErr w:type="spellEnd"/>
      <w:r w:rsidRPr="002A17B0">
        <w:rPr>
          <w:color w:val="000000" w:themeColor="text1"/>
          <w:sz w:val="22"/>
          <w:szCs w:val="22"/>
        </w:rPr>
        <w:t xml:space="preserve">, Erdi, </w:t>
      </w:r>
      <w:proofErr w:type="spellStart"/>
      <w:r w:rsidRPr="002A17B0">
        <w:rPr>
          <w:color w:val="000000" w:themeColor="text1"/>
          <w:sz w:val="22"/>
          <w:szCs w:val="22"/>
        </w:rPr>
        <w:t>eda</w:t>
      </w:r>
      <w:proofErr w:type="spellEnd"/>
      <w:r w:rsidRPr="002A17B0">
        <w:rPr>
          <w:color w:val="000000" w:themeColor="text1"/>
          <w:sz w:val="22"/>
          <w:szCs w:val="22"/>
        </w:rPr>
        <w:t xml:space="preserve">, &amp; cel, </w:t>
      </w:r>
      <w:proofErr w:type="spellStart"/>
      <w:r w:rsidRPr="002A17B0">
        <w:rPr>
          <w:color w:val="000000" w:themeColor="text1"/>
          <w:sz w:val="22"/>
          <w:szCs w:val="22"/>
        </w:rPr>
        <w:t>birsen</w:t>
      </w:r>
      <w:proofErr w:type="spellEnd"/>
      <w:r w:rsidRPr="002A17B0">
        <w:rPr>
          <w:color w:val="000000" w:themeColor="text1"/>
          <w:sz w:val="22"/>
          <w:szCs w:val="22"/>
        </w:rPr>
        <w:t>. (2025). Impact of de novo metastatic breast cancer on survival of patients: A comparative retrospective observational study. </w:t>
      </w:r>
      <w:r w:rsidRPr="002A17B0">
        <w:rPr>
          <w:i/>
          <w:iCs/>
          <w:color w:val="000000" w:themeColor="text1"/>
          <w:sz w:val="22"/>
          <w:szCs w:val="22"/>
        </w:rPr>
        <w:t>Annals of Medical Research</w:t>
      </w:r>
      <w:r w:rsidRPr="002A17B0">
        <w:rPr>
          <w:color w:val="000000" w:themeColor="text1"/>
          <w:sz w:val="22"/>
          <w:szCs w:val="22"/>
        </w:rPr>
        <w:t>, </w:t>
      </w:r>
      <w:r w:rsidRPr="002A17B0">
        <w:rPr>
          <w:i/>
          <w:iCs/>
          <w:color w:val="000000" w:themeColor="text1"/>
          <w:sz w:val="22"/>
          <w:szCs w:val="22"/>
        </w:rPr>
        <w:t>0</w:t>
      </w:r>
      <w:r w:rsidRPr="002A17B0">
        <w:rPr>
          <w:color w:val="000000" w:themeColor="text1"/>
          <w:sz w:val="22"/>
          <w:szCs w:val="22"/>
        </w:rPr>
        <w:t>, 1–1. </w:t>
      </w:r>
      <w:hyperlink r:id="rId17" w:tgtFrame="_blank" w:history="1">
        <w:r w:rsidRPr="002A17B0">
          <w:rPr>
            <w:rStyle w:val="Hyperlink"/>
            <w:color w:val="000000" w:themeColor="text1"/>
            <w:sz w:val="22"/>
            <w:szCs w:val="22"/>
            <w:u w:val="none"/>
          </w:rPr>
          <w:t>https://doi.org/10.5455/annalsmedres.2024.10.230</w:t>
        </w:r>
      </w:hyperlink>
    </w:p>
    <w:p w14:paraId="1FF19498" w14:textId="77777777" w:rsidR="00B113B5" w:rsidRPr="002A17B0" w:rsidRDefault="00B113B5" w:rsidP="00B113B5">
      <w:pPr>
        <w:numPr>
          <w:ilvl w:val="0"/>
          <w:numId w:val="6"/>
        </w:numPr>
        <w:shd w:val="clear" w:color="auto" w:fill="FFFFFF" w:themeFill="background1"/>
        <w:spacing w:after="120" w:line="276" w:lineRule="auto"/>
        <w:jc w:val="both"/>
        <w:rPr>
          <w:color w:val="000000" w:themeColor="text1"/>
          <w:sz w:val="22"/>
          <w:szCs w:val="22"/>
        </w:rPr>
      </w:pPr>
      <w:r w:rsidRPr="002A17B0">
        <w:rPr>
          <w:color w:val="000000" w:themeColor="text1"/>
          <w:sz w:val="22"/>
          <w:szCs w:val="22"/>
        </w:rPr>
        <w:t xml:space="preserve">Group, P. S., McKenzie, H., </w:t>
      </w:r>
      <w:proofErr w:type="spellStart"/>
      <w:r w:rsidRPr="002A17B0">
        <w:rPr>
          <w:color w:val="000000" w:themeColor="text1"/>
          <w:sz w:val="22"/>
          <w:szCs w:val="22"/>
        </w:rPr>
        <w:t>Maishman</w:t>
      </w:r>
      <w:proofErr w:type="spellEnd"/>
      <w:r w:rsidRPr="002A17B0">
        <w:rPr>
          <w:color w:val="000000" w:themeColor="text1"/>
          <w:sz w:val="22"/>
          <w:szCs w:val="22"/>
        </w:rPr>
        <w:t>, T., Simmonds, P., Durcan, L., Eccles, D., &amp; Copson, E. (2020). Survival and disease characteristics of de novo versus recurrent metastatic breast cancer in a cohort of young patients. </w:t>
      </w:r>
      <w:r w:rsidRPr="002A17B0">
        <w:rPr>
          <w:i/>
          <w:iCs/>
          <w:color w:val="000000" w:themeColor="text1"/>
          <w:sz w:val="22"/>
          <w:szCs w:val="22"/>
        </w:rPr>
        <w:t>British Journal of Cancer</w:t>
      </w:r>
      <w:r w:rsidRPr="002A17B0">
        <w:rPr>
          <w:color w:val="000000" w:themeColor="text1"/>
          <w:sz w:val="22"/>
          <w:szCs w:val="22"/>
        </w:rPr>
        <w:t>, </w:t>
      </w:r>
      <w:r w:rsidRPr="002A17B0">
        <w:rPr>
          <w:i/>
          <w:iCs/>
          <w:color w:val="000000" w:themeColor="text1"/>
          <w:sz w:val="22"/>
          <w:szCs w:val="22"/>
        </w:rPr>
        <w:t>122</w:t>
      </w:r>
      <w:r w:rsidRPr="002A17B0">
        <w:rPr>
          <w:color w:val="000000" w:themeColor="text1"/>
          <w:sz w:val="22"/>
          <w:szCs w:val="22"/>
        </w:rPr>
        <w:t>(11), 1618–1629. </w:t>
      </w:r>
      <w:hyperlink r:id="rId18" w:tgtFrame="_blank" w:history="1">
        <w:r w:rsidRPr="002A17B0">
          <w:rPr>
            <w:rStyle w:val="Hyperlink"/>
            <w:color w:val="000000" w:themeColor="text1"/>
            <w:sz w:val="22"/>
            <w:szCs w:val="22"/>
            <w:u w:val="none"/>
          </w:rPr>
          <w:t>https://doi.org/10.1038/s41416-020-0784-z</w:t>
        </w:r>
      </w:hyperlink>
    </w:p>
    <w:p w14:paraId="11DE50FB" w14:textId="77777777" w:rsidR="00B113B5" w:rsidRPr="002A17B0" w:rsidRDefault="00B113B5" w:rsidP="00B113B5">
      <w:pPr>
        <w:numPr>
          <w:ilvl w:val="0"/>
          <w:numId w:val="6"/>
        </w:numPr>
        <w:shd w:val="clear" w:color="auto" w:fill="FFFFFF" w:themeFill="background1"/>
        <w:spacing w:after="120" w:line="276" w:lineRule="auto"/>
        <w:jc w:val="both"/>
        <w:rPr>
          <w:color w:val="000000" w:themeColor="text1"/>
          <w:sz w:val="22"/>
          <w:szCs w:val="22"/>
        </w:rPr>
      </w:pPr>
      <w:proofErr w:type="spellStart"/>
      <w:r w:rsidRPr="002A17B0">
        <w:rPr>
          <w:color w:val="000000" w:themeColor="text1"/>
          <w:sz w:val="22"/>
          <w:szCs w:val="22"/>
        </w:rPr>
        <w:t>Lobbezoo</w:t>
      </w:r>
      <w:proofErr w:type="spellEnd"/>
      <w:r w:rsidRPr="002A17B0">
        <w:rPr>
          <w:color w:val="000000" w:themeColor="text1"/>
          <w:sz w:val="22"/>
          <w:szCs w:val="22"/>
        </w:rPr>
        <w:t xml:space="preserve">, D. J. A., Kampen, R. J. W. van, Voogd, A. C., Dercksen, M. W., </w:t>
      </w:r>
      <w:proofErr w:type="spellStart"/>
      <w:r w:rsidRPr="002A17B0">
        <w:rPr>
          <w:color w:val="000000" w:themeColor="text1"/>
          <w:sz w:val="22"/>
          <w:szCs w:val="22"/>
        </w:rPr>
        <w:t>Berkmortel</w:t>
      </w:r>
      <w:proofErr w:type="spellEnd"/>
      <w:r w:rsidRPr="002A17B0">
        <w:rPr>
          <w:color w:val="000000" w:themeColor="text1"/>
          <w:sz w:val="22"/>
          <w:szCs w:val="22"/>
        </w:rPr>
        <w:t xml:space="preserve">, F. V. den, </w:t>
      </w:r>
      <w:proofErr w:type="spellStart"/>
      <w:r w:rsidRPr="002A17B0">
        <w:rPr>
          <w:color w:val="000000" w:themeColor="text1"/>
          <w:sz w:val="22"/>
          <w:szCs w:val="22"/>
        </w:rPr>
        <w:t>Smilde</w:t>
      </w:r>
      <w:proofErr w:type="spellEnd"/>
      <w:r w:rsidRPr="002A17B0">
        <w:rPr>
          <w:color w:val="000000" w:themeColor="text1"/>
          <w:sz w:val="22"/>
          <w:szCs w:val="22"/>
        </w:rPr>
        <w:t>, T. J., Wouw, A. J. van de, Peters, F., Riel, J. M. G. H. van, Peters, N. A. J. B., Boer, M. de, Peer, P. G. M., &amp; Tjan‐</w:t>
      </w:r>
      <w:proofErr w:type="spellStart"/>
      <w:r w:rsidRPr="002A17B0">
        <w:rPr>
          <w:color w:val="000000" w:themeColor="text1"/>
          <w:sz w:val="22"/>
          <w:szCs w:val="22"/>
        </w:rPr>
        <w:t>Heijnen</w:t>
      </w:r>
      <w:proofErr w:type="spellEnd"/>
      <w:r w:rsidRPr="002A17B0">
        <w:rPr>
          <w:color w:val="000000" w:themeColor="text1"/>
          <w:sz w:val="22"/>
          <w:szCs w:val="22"/>
        </w:rPr>
        <w:t>, V. C. G. (2015). Prognosis of metastatic breast cancer: are there differences between patients with de novo and recurrent metastatic breast cancer? </w:t>
      </w:r>
      <w:r w:rsidRPr="002A17B0">
        <w:rPr>
          <w:i/>
          <w:iCs/>
          <w:color w:val="000000" w:themeColor="text1"/>
          <w:sz w:val="22"/>
          <w:szCs w:val="22"/>
        </w:rPr>
        <w:t>British Journal of Cancer</w:t>
      </w:r>
      <w:r w:rsidRPr="002A17B0">
        <w:rPr>
          <w:color w:val="000000" w:themeColor="text1"/>
          <w:sz w:val="22"/>
          <w:szCs w:val="22"/>
        </w:rPr>
        <w:t>, </w:t>
      </w:r>
      <w:r w:rsidRPr="002A17B0">
        <w:rPr>
          <w:i/>
          <w:iCs/>
          <w:color w:val="000000" w:themeColor="text1"/>
          <w:sz w:val="22"/>
          <w:szCs w:val="22"/>
        </w:rPr>
        <w:t>112</w:t>
      </w:r>
      <w:r w:rsidRPr="002A17B0">
        <w:rPr>
          <w:color w:val="000000" w:themeColor="text1"/>
          <w:sz w:val="22"/>
          <w:szCs w:val="22"/>
        </w:rPr>
        <w:t>(9), 1445–1451. </w:t>
      </w:r>
      <w:hyperlink r:id="rId19" w:tgtFrame="_blank" w:history="1">
        <w:r w:rsidRPr="002A17B0">
          <w:rPr>
            <w:rStyle w:val="Hyperlink"/>
            <w:color w:val="000000" w:themeColor="text1"/>
            <w:sz w:val="22"/>
            <w:szCs w:val="22"/>
            <w:u w:val="none"/>
          </w:rPr>
          <w:t>https://doi.org/10.1038/bjc.2015.127</w:t>
        </w:r>
      </w:hyperlink>
    </w:p>
    <w:p w14:paraId="18D564C8" w14:textId="77777777" w:rsidR="00B113B5" w:rsidRPr="003962D6" w:rsidRDefault="00B113B5" w:rsidP="00B113B5">
      <w:pPr>
        <w:numPr>
          <w:ilvl w:val="0"/>
          <w:numId w:val="6"/>
        </w:numPr>
        <w:shd w:val="clear" w:color="auto" w:fill="FFFFFF" w:themeFill="background1"/>
        <w:spacing w:after="120" w:line="276" w:lineRule="auto"/>
        <w:jc w:val="both"/>
        <w:rPr>
          <w:color w:val="000000" w:themeColor="text1"/>
          <w:sz w:val="22"/>
          <w:szCs w:val="22"/>
        </w:rPr>
      </w:pPr>
      <w:r w:rsidRPr="002A17B0">
        <w:rPr>
          <w:color w:val="000000" w:themeColor="text1"/>
          <w:sz w:val="22"/>
          <w:szCs w:val="22"/>
        </w:rPr>
        <w:t xml:space="preserve">Shahjalal, Md., Dahal, P. K., Rahman, Md. A., Mahmud, S. T., Kamran, M., Ahmed, S., </w:t>
      </w:r>
      <w:proofErr w:type="spellStart"/>
      <w:r w:rsidRPr="002A17B0">
        <w:rPr>
          <w:color w:val="000000" w:themeColor="text1"/>
          <w:sz w:val="22"/>
          <w:szCs w:val="22"/>
        </w:rPr>
        <w:t>Hawlader</w:t>
      </w:r>
      <w:proofErr w:type="spellEnd"/>
      <w:r w:rsidRPr="002A17B0">
        <w:rPr>
          <w:color w:val="000000" w:themeColor="text1"/>
          <w:sz w:val="22"/>
          <w:szCs w:val="22"/>
        </w:rPr>
        <w:t xml:space="preserve">, M. D. H., Dee, E. C., Iqbal, J., &amp; </w:t>
      </w:r>
      <w:proofErr w:type="spellStart"/>
      <w:r w:rsidRPr="002A17B0">
        <w:rPr>
          <w:color w:val="000000" w:themeColor="text1"/>
          <w:sz w:val="22"/>
          <w:szCs w:val="22"/>
        </w:rPr>
        <w:t>Mahumud</w:t>
      </w:r>
      <w:proofErr w:type="spellEnd"/>
      <w:r w:rsidRPr="002A17B0">
        <w:rPr>
          <w:color w:val="000000" w:themeColor="text1"/>
          <w:sz w:val="22"/>
          <w:szCs w:val="22"/>
        </w:rPr>
        <w:t xml:space="preserve">, R. A. (2026). Cancer Burden in Bangladesh: Insights </w:t>
      </w:r>
      <w:proofErr w:type="gramStart"/>
      <w:r w:rsidRPr="002A17B0">
        <w:rPr>
          <w:color w:val="000000" w:themeColor="text1"/>
          <w:sz w:val="22"/>
          <w:szCs w:val="22"/>
        </w:rPr>
        <w:t>From</w:t>
      </w:r>
      <w:proofErr w:type="gramEnd"/>
      <w:r w:rsidRPr="002A17B0">
        <w:rPr>
          <w:color w:val="000000" w:themeColor="text1"/>
          <w:sz w:val="22"/>
          <w:szCs w:val="22"/>
        </w:rPr>
        <w:t xml:space="preserve"> National Institute of Cancer Research &amp; Hospital, 2014-2020. </w:t>
      </w:r>
      <w:r w:rsidRPr="002A17B0">
        <w:rPr>
          <w:i/>
          <w:iCs/>
          <w:color w:val="000000" w:themeColor="text1"/>
          <w:sz w:val="22"/>
          <w:szCs w:val="22"/>
        </w:rPr>
        <w:t>JCO Global Oncology</w:t>
      </w:r>
      <w:r w:rsidRPr="002A17B0">
        <w:rPr>
          <w:color w:val="000000" w:themeColor="text1"/>
          <w:sz w:val="22"/>
          <w:szCs w:val="22"/>
        </w:rPr>
        <w:t>, </w:t>
      </w:r>
      <w:r w:rsidRPr="002A17B0">
        <w:rPr>
          <w:i/>
          <w:iCs/>
          <w:color w:val="000000" w:themeColor="text1"/>
          <w:sz w:val="22"/>
          <w:szCs w:val="22"/>
        </w:rPr>
        <w:t>12</w:t>
      </w:r>
      <w:r w:rsidRPr="002A17B0">
        <w:rPr>
          <w:color w:val="000000" w:themeColor="text1"/>
          <w:sz w:val="22"/>
          <w:szCs w:val="22"/>
        </w:rPr>
        <w:t>(3). </w:t>
      </w:r>
      <w:hyperlink r:id="rId20" w:tgtFrame="_blank" w:history="1">
        <w:r w:rsidRPr="002A17B0">
          <w:rPr>
            <w:rStyle w:val="Hyperlink"/>
            <w:color w:val="000000" w:themeColor="text1"/>
            <w:sz w:val="22"/>
            <w:szCs w:val="22"/>
            <w:u w:val="none"/>
          </w:rPr>
          <w:t>https://doi.org/10.1200/go-25-00584</w:t>
        </w:r>
      </w:hyperlink>
    </w:p>
    <w:p w14:paraId="4D881DF4" w14:textId="77777777" w:rsidR="00B113B5" w:rsidRPr="003962D6" w:rsidRDefault="00B113B5" w:rsidP="00B113B5">
      <w:pPr>
        <w:numPr>
          <w:ilvl w:val="0"/>
          <w:numId w:val="6"/>
        </w:numPr>
        <w:shd w:val="clear" w:color="auto" w:fill="FFFFFF" w:themeFill="background1"/>
        <w:spacing w:after="120" w:line="276" w:lineRule="auto"/>
        <w:jc w:val="both"/>
        <w:rPr>
          <w:color w:val="000000" w:themeColor="text1"/>
          <w:sz w:val="21"/>
          <w:szCs w:val="21"/>
        </w:rPr>
      </w:pPr>
      <w:r w:rsidRPr="003962D6">
        <w:rPr>
          <w:color w:val="212121"/>
          <w:sz w:val="22"/>
          <w:szCs w:val="22"/>
          <w:shd w:val="clear" w:color="auto" w:fill="FFFFFF"/>
        </w:rPr>
        <w:t xml:space="preserve">McKenzie HS, </w:t>
      </w:r>
      <w:proofErr w:type="spellStart"/>
      <w:r w:rsidRPr="003962D6">
        <w:rPr>
          <w:color w:val="212121"/>
          <w:sz w:val="22"/>
          <w:szCs w:val="22"/>
          <w:shd w:val="clear" w:color="auto" w:fill="FFFFFF"/>
        </w:rPr>
        <w:t>Maishman</w:t>
      </w:r>
      <w:proofErr w:type="spellEnd"/>
      <w:r w:rsidRPr="003962D6">
        <w:rPr>
          <w:color w:val="212121"/>
          <w:sz w:val="22"/>
          <w:szCs w:val="22"/>
          <w:shd w:val="clear" w:color="auto" w:fill="FFFFFF"/>
        </w:rPr>
        <w:t xml:space="preserve"> T, Simmonds P, et al. Survival and disease characteristics of de novo versus recurrent metastatic breast cancer in a cohort of young patients. </w:t>
      </w:r>
      <w:r w:rsidRPr="003962D6">
        <w:rPr>
          <w:i/>
          <w:iCs/>
          <w:color w:val="212121"/>
          <w:sz w:val="22"/>
          <w:szCs w:val="22"/>
          <w:shd w:val="clear" w:color="auto" w:fill="FFFFFF"/>
        </w:rPr>
        <w:t>Br J Cancer</w:t>
      </w:r>
      <w:r w:rsidRPr="003962D6">
        <w:rPr>
          <w:color w:val="212121"/>
          <w:sz w:val="22"/>
          <w:szCs w:val="22"/>
          <w:shd w:val="clear" w:color="auto" w:fill="FFFFFF"/>
        </w:rPr>
        <w:t>. 2020;122(11):1618-1629. doi:10.1038/s41416-020-0784-z</w:t>
      </w:r>
    </w:p>
    <w:p w14:paraId="79F1F68C" w14:textId="77777777" w:rsidR="00B113B5" w:rsidRPr="001E4DF5" w:rsidRDefault="00B113B5" w:rsidP="00B113B5">
      <w:pPr>
        <w:numPr>
          <w:ilvl w:val="0"/>
          <w:numId w:val="6"/>
        </w:numPr>
        <w:shd w:val="clear" w:color="auto" w:fill="FFFFFF" w:themeFill="background1"/>
        <w:spacing w:after="120" w:line="276" w:lineRule="auto"/>
        <w:jc w:val="both"/>
        <w:rPr>
          <w:color w:val="000000" w:themeColor="text1"/>
          <w:sz w:val="20"/>
          <w:szCs w:val="20"/>
        </w:rPr>
      </w:pPr>
      <w:r w:rsidRPr="003962D6">
        <w:rPr>
          <w:color w:val="212121"/>
          <w:sz w:val="22"/>
          <w:szCs w:val="22"/>
          <w:shd w:val="clear" w:color="auto" w:fill="FFFFFF"/>
        </w:rPr>
        <w:t>Malmgren JA, Mayer M, Atwood MK, Kaplan HG. Differential presentation and survival of de novo and recurrent metastatic breast cancer over time: 1990-2010. </w:t>
      </w:r>
      <w:r w:rsidRPr="003962D6">
        <w:rPr>
          <w:i/>
          <w:iCs/>
          <w:color w:val="212121"/>
          <w:sz w:val="22"/>
          <w:szCs w:val="22"/>
          <w:shd w:val="clear" w:color="auto" w:fill="FFFFFF"/>
        </w:rPr>
        <w:t>Breast Cancer Res Treat</w:t>
      </w:r>
      <w:r w:rsidRPr="003962D6">
        <w:rPr>
          <w:color w:val="212121"/>
          <w:sz w:val="22"/>
          <w:szCs w:val="22"/>
          <w:shd w:val="clear" w:color="auto" w:fill="FFFFFF"/>
        </w:rPr>
        <w:t>. 2018;167(2):579-590. doi:10.1007/s10549-017-4529-5</w:t>
      </w:r>
    </w:p>
    <w:p w14:paraId="528C620D" w14:textId="77777777" w:rsidR="00B113B5" w:rsidRPr="001E4DF5" w:rsidRDefault="00B113B5" w:rsidP="00B113B5">
      <w:pPr>
        <w:numPr>
          <w:ilvl w:val="0"/>
          <w:numId w:val="6"/>
        </w:numPr>
        <w:shd w:val="clear" w:color="auto" w:fill="FFFFFF" w:themeFill="background1"/>
        <w:spacing w:after="120" w:line="276" w:lineRule="auto"/>
        <w:jc w:val="both"/>
        <w:rPr>
          <w:color w:val="000000" w:themeColor="text1"/>
          <w:sz w:val="20"/>
          <w:szCs w:val="20"/>
        </w:rPr>
      </w:pPr>
      <w:r w:rsidRPr="001E4DF5">
        <w:rPr>
          <w:color w:val="000000" w:themeColor="text1"/>
          <w:sz w:val="20"/>
          <w:szCs w:val="20"/>
        </w:rPr>
        <w:t>Ahmad F, Kabir SF, Purno NH, Islam S, Ginsburg O. A study with Bangladeshi women: seeking care for breast health. Health Care Women Int. 2017;38(4):334-343. doi:10.1080/07399332.2016.1263305.</w:t>
      </w:r>
    </w:p>
    <w:p w14:paraId="6E9A7D0A" w14:textId="77777777" w:rsidR="00B113B5" w:rsidRPr="001E4DF5" w:rsidRDefault="00B113B5" w:rsidP="00B113B5">
      <w:pPr>
        <w:numPr>
          <w:ilvl w:val="0"/>
          <w:numId w:val="6"/>
        </w:numPr>
        <w:shd w:val="clear" w:color="auto" w:fill="FFFFFF" w:themeFill="background1"/>
        <w:spacing w:after="120" w:line="276" w:lineRule="auto"/>
        <w:jc w:val="both"/>
        <w:rPr>
          <w:color w:val="000000" w:themeColor="text1"/>
          <w:sz w:val="20"/>
          <w:szCs w:val="20"/>
        </w:rPr>
      </w:pPr>
      <w:proofErr w:type="spellStart"/>
      <w:r w:rsidRPr="001E4DF5">
        <w:rPr>
          <w:color w:val="000000" w:themeColor="text1"/>
          <w:sz w:val="20"/>
          <w:szCs w:val="20"/>
        </w:rPr>
        <w:t>Ferdause</w:t>
      </w:r>
      <w:proofErr w:type="spellEnd"/>
      <w:r w:rsidRPr="001E4DF5">
        <w:rPr>
          <w:color w:val="000000" w:themeColor="text1"/>
          <w:sz w:val="20"/>
          <w:szCs w:val="20"/>
        </w:rPr>
        <w:t xml:space="preserve"> J, Ahmed N, Rahman L, </w:t>
      </w:r>
      <w:proofErr w:type="spellStart"/>
      <w:r w:rsidRPr="001E4DF5">
        <w:rPr>
          <w:color w:val="000000" w:themeColor="text1"/>
          <w:sz w:val="20"/>
          <w:szCs w:val="20"/>
        </w:rPr>
        <w:t>Aain</w:t>
      </w:r>
      <w:proofErr w:type="spellEnd"/>
      <w:r w:rsidRPr="001E4DF5">
        <w:rPr>
          <w:color w:val="000000" w:themeColor="text1"/>
          <w:sz w:val="20"/>
          <w:szCs w:val="20"/>
        </w:rPr>
        <w:t xml:space="preserve"> KRR, </w:t>
      </w:r>
      <w:proofErr w:type="spellStart"/>
      <w:r w:rsidRPr="001E4DF5">
        <w:rPr>
          <w:color w:val="000000" w:themeColor="text1"/>
          <w:sz w:val="20"/>
          <w:szCs w:val="20"/>
        </w:rPr>
        <w:t>Ferdausi</w:t>
      </w:r>
      <w:proofErr w:type="spellEnd"/>
      <w:r w:rsidRPr="001E4DF5">
        <w:rPr>
          <w:color w:val="000000" w:themeColor="text1"/>
          <w:sz w:val="20"/>
          <w:szCs w:val="20"/>
        </w:rPr>
        <w:t xml:space="preserve"> FA, Kadir AKMS, et al. Understanding diagnostic delays among newly diagnosed breast cancer patients at a tertiary cancer care center in a low-middle-income country like Bangladesh. Medicine (Baltimore). 2025;104(10). doi:10.1097/MD.0000000000041775.</w:t>
      </w:r>
    </w:p>
    <w:p w14:paraId="37BBCD30" w14:textId="77777777" w:rsidR="00B113B5" w:rsidRPr="001E4DF5" w:rsidRDefault="00B113B5" w:rsidP="00B113B5">
      <w:pPr>
        <w:numPr>
          <w:ilvl w:val="0"/>
          <w:numId w:val="6"/>
        </w:numPr>
        <w:shd w:val="clear" w:color="auto" w:fill="FFFFFF" w:themeFill="background1"/>
        <w:spacing w:after="120" w:line="276" w:lineRule="auto"/>
        <w:jc w:val="both"/>
        <w:rPr>
          <w:color w:val="000000" w:themeColor="text1"/>
          <w:sz w:val="20"/>
          <w:szCs w:val="20"/>
        </w:rPr>
      </w:pPr>
      <w:r w:rsidRPr="001E4DF5">
        <w:rPr>
          <w:color w:val="000000" w:themeColor="text1"/>
          <w:sz w:val="20"/>
          <w:szCs w:val="20"/>
        </w:rPr>
        <w:t>Chandra Roy B, Naher S, Hanifa MA, Sarkar P. Pattern of delayed presentation of breast cancer patients: evidence from Rangpur Medical College Hospital, Rangpur, Bangladesh. Adv Cancer Res Ther. 2015;1(1):1-6.</w:t>
      </w:r>
    </w:p>
    <w:p w14:paraId="3ABB7B23" w14:textId="77777777" w:rsidR="00B113B5" w:rsidRPr="001E4DF5" w:rsidRDefault="00B113B5" w:rsidP="00B113B5">
      <w:pPr>
        <w:numPr>
          <w:ilvl w:val="0"/>
          <w:numId w:val="6"/>
        </w:numPr>
        <w:shd w:val="clear" w:color="auto" w:fill="FFFFFF" w:themeFill="background1"/>
        <w:spacing w:after="120" w:line="276" w:lineRule="auto"/>
        <w:jc w:val="both"/>
        <w:rPr>
          <w:color w:val="000000" w:themeColor="text1"/>
          <w:sz w:val="20"/>
          <w:szCs w:val="20"/>
        </w:rPr>
      </w:pPr>
      <w:r w:rsidRPr="001E4DF5">
        <w:rPr>
          <w:color w:val="000000" w:themeColor="text1"/>
          <w:sz w:val="20"/>
          <w:szCs w:val="20"/>
        </w:rPr>
        <w:t>Unger-Saldaña K. Challenges to the early diagnosis and treatment of breast cancer in developing countries. World J Clin Oncol. 2014;5(3):465-477. doi:10.5306/</w:t>
      </w:r>
      <w:proofErr w:type="gramStart"/>
      <w:r w:rsidRPr="001E4DF5">
        <w:rPr>
          <w:color w:val="000000" w:themeColor="text1"/>
          <w:sz w:val="20"/>
          <w:szCs w:val="20"/>
        </w:rPr>
        <w:t>wjco.v5.i</w:t>
      </w:r>
      <w:proofErr w:type="gramEnd"/>
      <w:r w:rsidRPr="001E4DF5">
        <w:rPr>
          <w:color w:val="000000" w:themeColor="text1"/>
          <w:sz w:val="20"/>
          <w:szCs w:val="20"/>
        </w:rPr>
        <w:t>3.465.</w:t>
      </w:r>
    </w:p>
    <w:p w14:paraId="456FB93E" w14:textId="77777777" w:rsidR="00B113B5" w:rsidRPr="001E4DF5" w:rsidRDefault="00B113B5" w:rsidP="00B113B5">
      <w:pPr>
        <w:numPr>
          <w:ilvl w:val="0"/>
          <w:numId w:val="6"/>
        </w:numPr>
        <w:shd w:val="clear" w:color="auto" w:fill="FFFFFF" w:themeFill="background1"/>
        <w:spacing w:after="120" w:line="276" w:lineRule="auto"/>
        <w:jc w:val="both"/>
        <w:rPr>
          <w:color w:val="000000" w:themeColor="text1"/>
          <w:sz w:val="20"/>
          <w:szCs w:val="20"/>
        </w:rPr>
      </w:pPr>
      <w:r w:rsidRPr="00DE62DE">
        <w:rPr>
          <w:color w:val="000000" w:themeColor="text1"/>
          <w:sz w:val="20"/>
          <w:szCs w:val="20"/>
          <w:lang w:val="fr-FR"/>
        </w:rPr>
        <w:t xml:space="preserve">Martei YM, Pace LE, Brock JE, Shulman LN. </w:t>
      </w:r>
      <w:r w:rsidRPr="001E4DF5">
        <w:rPr>
          <w:color w:val="000000" w:themeColor="text1"/>
          <w:sz w:val="20"/>
          <w:szCs w:val="20"/>
        </w:rPr>
        <w:t xml:space="preserve">Breast cancer in low- and middle-income countries. Clin Lab Med. 2018;38(1):161-173. </w:t>
      </w:r>
      <w:proofErr w:type="gramStart"/>
      <w:r w:rsidRPr="001E4DF5">
        <w:rPr>
          <w:color w:val="000000" w:themeColor="text1"/>
          <w:sz w:val="20"/>
          <w:szCs w:val="20"/>
        </w:rPr>
        <w:t>doi:10.1016/j.cll</w:t>
      </w:r>
      <w:proofErr w:type="gramEnd"/>
      <w:r w:rsidRPr="001E4DF5">
        <w:rPr>
          <w:color w:val="000000" w:themeColor="text1"/>
          <w:sz w:val="20"/>
          <w:szCs w:val="20"/>
        </w:rPr>
        <w:t>.2017.10.013.</w:t>
      </w:r>
    </w:p>
    <w:p w14:paraId="6A225CF5" w14:textId="77777777" w:rsidR="00B113B5" w:rsidRPr="001E4DF5" w:rsidRDefault="00B113B5" w:rsidP="00B113B5">
      <w:pPr>
        <w:numPr>
          <w:ilvl w:val="0"/>
          <w:numId w:val="6"/>
        </w:numPr>
        <w:shd w:val="clear" w:color="auto" w:fill="FFFFFF" w:themeFill="background1"/>
        <w:spacing w:after="120" w:line="276" w:lineRule="auto"/>
        <w:jc w:val="both"/>
        <w:rPr>
          <w:color w:val="000000" w:themeColor="text1"/>
          <w:sz w:val="20"/>
          <w:szCs w:val="20"/>
        </w:rPr>
      </w:pPr>
      <w:r w:rsidRPr="001E4DF5">
        <w:rPr>
          <w:color w:val="000000" w:themeColor="text1"/>
          <w:sz w:val="20"/>
          <w:szCs w:val="20"/>
        </w:rPr>
        <w:t>Kim HJ, Ahn SG, Lee HM, Park J, Han K, Lee SA, et al. Metastasis-free interval is closely related to tumor characteristics and has prognostic value in breast cancer patients with distant relapse. J Breast Cancer. 2015;18(4):371-377. doi:10.4048/jbc.2015.18.4.371.</w:t>
      </w:r>
    </w:p>
    <w:p w14:paraId="43551040" w14:textId="77777777" w:rsidR="00B113B5" w:rsidRPr="001E4DF5" w:rsidRDefault="00B113B5" w:rsidP="00B113B5">
      <w:pPr>
        <w:numPr>
          <w:ilvl w:val="0"/>
          <w:numId w:val="6"/>
        </w:numPr>
        <w:shd w:val="clear" w:color="auto" w:fill="FFFFFF" w:themeFill="background1"/>
        <w:spacing w:after="120" w:line="276" w:lineRule="auto"/>
        <w:jc w:val="both"/>
        <w:rPr>
          <w:color w:val="000000" w:themeColor="text1"/>
          <w:sz w:val="20"/>
          <w:szCs w:val="20"/>
        </w:rPr>
      </w:pPr>
      <w:r w:rsidRPr="001E4DF5">
        <w:rPr>
          <w:color w:val="000000" w:themeColor="text1"/>
          <w:sz w:val="20"/>
          <w:szCs w:val="20"/>
        </w:rPr>
        <w:t>Jia Z, Dai M, Shang Y, Li Y, Li Z. Exploring the relationships between hormone receptor, HER2 status, and bone involvement in the first distant metastases of Chinese breast cancer patients who lacked HER2-targeted therapy. BMC Cancer. 2023;23(1):93. doi:10.1186/s12885-023-10569-z.</w:t>
      </w:r>
    </w:p>
    <w:p w14:paraId="315D3AA5" w14:textId="77777777" w:rsidR="00B113B5" w:rsidRDefault="00B113B5" w:rsidP="00B113B5">
      <w:pPr>
        <w:numPr>
          <w:ilvl w:val="0"/>
          <w:numId w:val="6"/>
        </w:numPr>
        <w:shd w:val="clear" w:color="auto" w:fill="FFFFFF" w:themeFill="background1"/>
        <w:spacing w:after="120" w:line="276" w:lineRule="auto"/>
        <w:jc w:val="both"/>
        <w:rPr>
          <w:color w:val="000000" w:themeColor="text1"/>
          <w:sz w:val="20"/>
          <w:szCs w:val="20"/>
        </w:rPr>
      </w:pPr>
      <w:r w:rsidRPr="001E4DF5">
        <w:rPr>
          <w:color w:val="000000" w:themeColor="text1"/>
          <w:sz w:val="20"/>
          <w:szCs w:val="20"/>
        </w:rPr>
        <w:lastRenderedPageBreak/>
        <w:t>Lee SJ, Park S, Ahn HK, Yi JH, Cho EY, Sun JM, et al. Implications of bone-only metastases in breast cancer: favorable preference with excellent outcomes of hormone receptor-positive breast cancer. Cancer Res Treat. 2011;43(2):89-95. doi:10.4143/crt.2011.43.2.89.</w:t>
      </w:r>
    </w:p>
    <w:p w14:paraId="609FAC26" w14:textId="77777777" w:rsidR="00B113B5" w:rsidRPr="001E4DF5" w:rsidRDefault="00B113B5" w:rsidP="00B113B5">
      <w:pPr>
        <w:numPr>
          <w:ilvl w:val="0"/>
          <w:numId w:val="6"/>
        </w:numPr>
        <w:shd w:val="clear" w:color="auto" w:fill="FFFFFF" w:themeFill="background1"/>
        <w:spacing w:after="120" w:line="276" w:lineRule="auto"/>
        <w:jc w:val="both"/>
        <w:rPr>
          <w:color w:val="000000" w:themeColor="text1"/>
          <w:sz w:val="20"/>
          <w:szCs w:val="20"/>
        </w:rPr>
      </w:pPr>
      <w:proofErr w:type="spellStart"/>
      <w:r w:rsidRPr="001E4DF5">
        <w:rPr>
          <w:color w:val="000000" w:themeColor="text1"/>
          <w:sz w:val="20"/>
          <w:szCs w:val="20"/>
        </w:rPr>
        <w:t>Curtit</w:t>
      </w:r>
      <w:proofErr w:type="spellEnd"/>
      <w:r w:rsidRPr="001E4DF5">
        <w:rPr>
          <w:color w:val="000000" w:themeColor="text1"/>
          <w:sz w:val="20"/>
          <w:szCs w:val="20"/>
        </w:rPr>
        <w:t xml:space="preserve"> E, Bazán F, Chaigneau L, </w:t>
      </w:r>
      <w:proofErr w:type="spellStart"/>
      <w:r w:rsidRPr="001E4DF5">
        <w:rPr>
          <w:color w:val="000000" w:themeColor="text1"/>
          <w:sz w:val="20"/>
          <w:szCs w:val="20"/>
        </w:rPr>
        <w:t>Mouillet</w:t>
      </w:r>
      <w:proofErr w:type="spellEnd"/>
      <w:r w:rsidRPr="001E4DF5">
        <w:rPr>
          <w:color w:val="000000" w:themeColor="text1"/>
          <w:sz w:val="20"/>
          <w:szCs w:val="20"/>
        </w:rPr>
        <w:t xml:space="preserve"> G, Dobi E, Mansi L, et al. Prolonged overall survival for patients with bone-only metastases at presentation of metastatic breast cancer. Ann Oncol. 2018;29(Suppl 8). doi:10.1093/</w:t>
      </w:r>
      <w:proofErr w:type="spellStart"/>
      <w:r w:rsidRPr="001E4DF5">
        <w:rPr>
          <w:color w:val="000000" w:themeColor="text1"/>
          <w:sz w:val="20"/>
          <w:szCs w:val="20"/>
        </w:rPr>
        <w:t>annonc</w:t>
      </w:r>
      <w:proofErr w:type="spellEnd"/>
      <w:r w:rsidRPr="001E4DF5">
        <w:rPr>
          <w:color w:val="000000" w:themeColor="text1"/>
          <w:sz w:val="20"/>
          <w:szCs w:val="20"/>
        </w:rPr>
        <w:t>/mdy272.347.</w:t>
      </w:r>
    </w:p>
    <w:p w14:paraId="689C1055" w14:textId="77777777" w:rsidR="00B113B5" w:rsidRPr="001E4DF5" w:rsidRDefault="00B113B5" w:rsidP="00B113B5">
      <w:pPr>
        <w:numPr>
          <w:ilvl w:val="0"/>
          <w:numId w:val="6"/>
        </w:numPr>
        <w:shd w:val="clear" w:color="auto" w:fill="FFFFFF" w:themeFill="background1"/>
        <w:spacing w:after="120" w:line="276" w:lineRule="auto"/>
        <w:jc w:val="both"/>
        <w:rPr>
          <w:color w:val="000000" w:themeColor="text1"/>
          <w:sz w:val="20"/>
          <w:szCs w:val="20"/>
        </w:rPr>
      </w:pPr>
      <w:r w:rsidRPr="001E4DF5">
        <w:rPr>
          <w:color w:val="000000" w:themeColor="text1"/>
          <w:sz w:val="20"/>
          <w:szCs w:val="20"/>
        </w:rPr>
        <w:t>Parkes A, Warneke CL, Clifton K, Al-Awadhi A, Oke O, Pestana RC, et al. Prognostic factors in patients with metastatic breast cancer with bone-only metastases. Oncologist. 2018;23(11):1282-1288. doi:10.1634/theoncologist.2018-0085.</w:t>
      </w:r>
    </w:p>
    <w:p w14:paraId="462B879D" w14:textId="77777777" w:rsidR="00B113B5" w:rsidRPr="001E4DF5" w:rsidRDefault="00B113B5" w:rsidP="00B113B5">
      <w:pPr>
        <w:numPr>
          <w:ilvl w:val="0"/>
          <w:numId w:val="6"/>
        </w:numPr>
        <w:shd w:val="clear" w:color="auto" w:fill="FFFFFF" w:themeFill="background1"/>
        <w:spacing w:after="120" w:line="276" w:lineRule="auto"/>
        <w:jc w:val="both"/>
        <w:rPr>
          <w:color w:val="000000" w:themeColor="text1"/>
          <w:sz w:val="20"/>
          <w:szCs w:val="20"/>
        </w:rPr>
      </w:pPr>
      <w:r w:rsidRPr="001E4DF5">
        <w:rPr>
          <w:color w:val="000000" w:themeColor="text1"/>
          <w:sz w:val="20"/>
          <w:szCs w:val="20"/>
        </w:rPr>
        <w:t xml:space="preserve">Liu D, Wu J, Lin C, Andriani L, Ding S, Shen K, Zhu L. Breast subtypes and prognosis of breast cancer patients with initial bone metastasis: a population-based study. Front Oncol. </w:t>
      </w:r>
      <w:proofErr w:type="gramStart"/>
      <w:r w:rsidRPr="001E4DF5">
        <w:rPr>
          <w:color w:val="000000" w:themeColor="text1"/>
          <w:sz w:val="20"/>
          <w:szCs w:val="20"/>
        </w:rPr>
        <w:t>2020;10:580112</w:t>
      </w:r>
      <w:proofErr w:type="gramEnd"/>
      <w:r w:rsidRPr="001E4DF5">
        <w:rPr>
          <w:color w:val="000000" w:themeColor="text1"/>
          <w:sz w:val="20"/>
          <w:szCs w:val="20"/>
        </w:rPr>
        <w:t>. doi:10.3389/fonc.2020.580112.</w:t>
      </w:r>
    </w:p>
    <w:p w14:paraId="0EFE59BF" w14:textId="77777777" w:rsidR="00B113B5" w:rsidRPr="001E4DF5" w:rsidRDefault="00B113B5" w:rsidP="00B113B5">
      <w:pPr>
        <w:numPr>
          <w:ilvl w:val="0"/>
          <w:numId w:val="6"/>
        </w:numPr>
        <w:shd w:val="clear" w:color="auto" w:fill="FFFFFF" w:themeFill="background1"/>
        <w:spacing w:after="120" w:line="276" w:lineRule="auto"/>
        <w:jc w:val="both"/>
        <w:rPr>
          <w:color w:val="000000" w:themeColor="text1"/>
          <w:sz w:val="20"/>
          <w:szCs w:val="20"/>
        </w:rPr>
      </w:pPr>
      <w:r w:rsidRPr="001E4DF5">
        <w:rPr>
          <w:color w:val="000000" w:themeColor="text1"/>
          <w:sz w:val="20"/>
          <w:szCs w:val="20"/>
        </w:rPr>
        <w:t xml:space="preserve">Luangxay T, </w:t>
      </w:r>
      <w:proofErr w:type="spellStart"/>
      <w:r w:rsidRPr="001E4DF5">
        <w:rPr>
          <w:color w:val="000000" w:themeColor="text1"/>
          <w:sz w:val="20"/>
          <w:szCs w:val="20"/>
        </w:rPr>
        <w:t>Virachith</w:t>
      </w:r>
      <w:proofErr w:type="spellEnd"/>
      <w:r w:rsidRPr="001E4DF5">
        <w:rPr>
          <w:color w:val="000000" w:themeColor="text1"/>
          <w:sz w:val="20"/>
          <w:szCs w:val="20"/>
        </w:rPr>
        <w:t xml:space="preserve"> S, Hando K, </w:t>
      </w:r>
      <w:proofErr w:type="spellStart"/>
      <w:r w:rsidRPr="001E4DF5">
        <w:rPr>
          <w:color w:val="000000" w:themeColor="text1"/>
          <w:sz w:val="20"/>
          <w:szCs w:val="20"/>
        </w:rPr>
        <w:t>Vilayvong</w:t>
      </w:r>
      <w:proofErr w:type="spellEnd"/>
      <w:r w:rsidRPr="001E4DF5">
        <w:rPr>
          <w:color w:val="000000" w:themeColor="text1"/>
          <w:sz w:val="20"/>
          <w:szCs w:val="20"/>
        </w:rPr>
        <w:t xml:space="preserve"> S, </w:t>
      </w:r>
      <w:proofErr w:type="spellStart"/>
      <w:r w:rsidRPr="001E4DF5">
        <w:rPr>
          <w:color w:val="000000" w:themeColor="text1"/>
          <w:sz w:val="20"/>
          <w:szCs w:val="20"/>
        </w:rPr>
        <w:t>Xaysomphet</w:t>
      </w:r>
      <w:proofErr w:type="spellEnd"/>
      <w:r w:rsidRPr="001E4DF5">
        <w:rPr>
          <w:color w:val="000000" w:themeColor="text1"/>
          <w:sz w:val="20"/>
          <w:szCs w:val="20"/>
        </w:rPr>
        <w:t xml:space="preserve"> P, </w:t>
      </w:r>
      <w:proofErr w:type="spellStart"/>
      <w:r w:rsidRPr="001E4DF5">
        <w:rPr>
          <w:color w:val="000000" w:themeColor="text1"/>
          <w:sz w:val="20"/>
          <w:szCs w:val="20"/>
        </w:rPr>
        <w:t>Arounlangsy</w:t>
      </w:r>
      <w:proofErr w:type="spellEnd"/>
      <w:r w:rsidRPr="001E4DF5">
        <w:rPr>
          <w:color w:val="000000" w:themeColor="text1"/>
          <w:sz w:val="20"/>
          <w:szCs w:val="20"/>
        </w:rPr>
        <w:t xml:space="preserve"> P, et al. Subtypes of breast cancer in Lao PDR: a study in a limited-resource setting. Asian Pac J Cancer Prev. 2019;20(2):589-594. doi:10.31557/APJCP.2019.20.2.589.</w:t>
      </w:r>
    </w:p>
    <w:p w14:paraId="4EC5A158" w14:textId="77777777" w:rsidR="00B113B5" w:rsidRPr="001E4DF5" w:rsidRDefault="00B113B5" w:rsidP="00B113B5">
      <w:pPr>
        <w:numPr>
          <w:ilvl w:val="0"/>
          <w:numId w:val="6"/>
        </w:numPr>
        <w:shd w:val="clear" w:color="auto" w:fill="FFFFFF" w:themeFill="background1"/>
        <w:spacing w:after="120" w:line="276" w:lineRule="auto"/>
        <w:jc w:val="both"/>
        <w:rPr>
          <w:color w:val="000000" w:themeColor="text1"/>
          <w:sz w:val="20"/>
          <w:szCs w:val="20"/>
        </w:rPr>
      </w:pPr>
      <w:r w:rsidRPr="001E4DF5">
        <w:rPr>
          <w:color w:val="000000" w:themeColor="text1"/>
          <w:sz w:val="20"/>
          <w:szCs w:val="20"/>
        </w:rPr>
        <w:t xml:space="preserve">Ziegenhorn HV, Frie KG, Ekanem IO, </w:t>
      </w:r>
      <w:proofErr w:type="spellStart"/>
      <w:r w:rsidRPr="001E4DF5">
        <w:rPr>
          <w:color w:val="000000" w:themeColor="text1"/>
          <w:sz w:val="20"/>
          <w:szCs w:val="20"/>
        </w:rPr>
        <w:t>Ebughe</w:t>
      </w:r>
      <w:proofErr w:type="spellEnd"/>
      <w:r w:rsidRPr="001E4DF5">
        <w:rPr>
          <w:color w:val="000000" w:themeColor="text1"/>
          <w:sz w:val="20"/>
          <w:szCs w:val="20"/>
        </w:rPr>
        <w:t xml:space="preserve"> G, </w:t>
      </w:r>
      <w:proofErr w:type="spellStart"/>
      <w:r w:rsidRPr="001E4DF5">
        <w:rPr>
          <w:color w:val="000000" w:themeColor="text1"/>
          <w:sz w:val="20"/>
          <w:szCs w:val="20"/>
        </w:rPr>
        <w:t>Kamaté</w:t>
      </w:r>
      <w:proofErr w:type="spellEnd"/>
      <w:r w:rsidRPr="001E4DF5">
        <w:rPr>
          <w:color w:val="000000" w:themeColor="text1"/>
          <w:sz w:val="20"/>
          <w:szCs w:val="20"/>
        </w:rPr>
        <w:t xml:space="preserve"> B, Traoré CB, et al. Breast cancer pathology services in sub-Saharan Africa: a survey within population-based cancer registries. BMC Health Serv Res. 2020;20(1):912. doi:10.1186/s12913-020-05752-y.</w:t>
      </w:r>
    </w:p>
    <w:p w14:paraId="0ECB8636" w14:textId="77777777" w:rsidR="00B113B5" w:rsidRPr="005907B2" w:rsidRDefault="00B113B5" w:rsidP="00B113B5">
      <w:pPr>
        <w:numPr>
          <w:ilvl w:val="0"/>
          <w:numId w:val="6"/>
        </w:numPr>
        <w:shd w:val="clear" w:color="auto" w:fill="FFFFFF" w:themeFill="background1"/>
        <w:spacing w:after="120" w:line="276" w:lineRule="auto"/>
        <w:jc w:val="both"/>
        <w:rPr>
          <w:color w:val="000000" w:themeColor="text1"/>
          <w:sz w:val="20"/>
          <w:szCs w:val="20"/>
        </w:rPr>
      </w:pPr>
      <w:r w:rsidRPr="001E4DF5">
        <w:rPr>
          <w:color w:val="000000" w:themeColor="text1"/>
          <w:sz w:val="20"/>
          <w:szCs w:val="20"/>
        </w:rPr>
        <w:t>Wu N, Wong W, Ho K, Chu VC, Rizo A, Davenport S, Kelly DD, et al. Comparison of central laboratory assessments of ER, PR, HER2, and Ki67 by IHC/FISH and the corresponding mRNAs (ESR1, PGR, ERBB2, and MKi67) by RT-qPCR on an automated, broadly deployed diagnostic platform. Breast Cancer Res Treat. 2018;172(2):327-338. doi:10.1007/s10549-018-4889-5.</w:t>
      </w:r>
    </w:p>
    <w:p w14:paraId="324DA39C" w14:textId="77777777" w:rsidR="00B113B5" w:rsidRPr="00E84239" w:rsidRDefault="00B113B5" w:rsidP="00ED3CD5">
      <w:pPr>
        <w:pStyle w:val="TableCaption"/>
        <w:keepNext/>
        <w:pBdr>
          <w:top w:val="none" w:sz="0" w:space="0" w:color="000000"/>
          <w:left w:val="none" w:sz="0" w:space="0" w:color="000000"/>
          <w:bottom w:val="none" w:sz="0" w:space="0" w:color="000000"/>
          <w:right w:val="none" w:sz="0" w:space="0" w:color="000000"/>
        </w:pBdr>
        <w:spacing w:after="120" w:line="360" w:lineRule="auto"/>
        <w:ind w:right="62"/>
        <w:jc w:val="both"/>
        <w:rPr>
          <w:b w:val="0"/>
          <w:bCs/>
          <w:i w:val="0"/>
          <w:iCs/>
        </w:rPr>
      </w:pPr>
    </w:p>
    <w:sectPr w:rsidR="00B113B5" w:rsidRPr="00E84239" w:rsidSect="00747CCE">
      <w:footerReference w:type="even" r:id="rId21"/>
      <w:footerReference w:type="default" r:id="rId22"/>
      <w:type w:val="continuous"/>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209EE" w14:textId="77777777" w:rsidR="000826E2" w:rsidRDefault="000826E2" w:rsidP="00FF69E7">
      <w:r>
        <w:separator/>
      </w:r>
    </w:p>
  </w:endnote>
  <w:endnote w:type="continuationSeparator" w:id="0">
    <w:p w14:paraId="62915B78" w14:textId="77777777" w:rsidR="000826E2" w:rsidRDefault="000826E2" w:rsidP="00FF6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2668912"/>
      <w:docPartObj>
        <w:docPartGallery w:val="Page Numbers (Bottom of Page)"/>
        <w:docPartUnique/>
      </w:docPartObj>
    </w:sdtPr>
    <w:sdtContent>
      <w:p w14:paraId="2AB68DC9" w14:textId="77777777" w:rsidR="00FF69E7" w:rsidRDefault="00FF69E7" w:rsidP="004E69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6A1802" w14:textId="77777777" w:rsidR="00FF69E7" w:rsidRDefault="00FF69E7" w:rsidP="00FF69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3432970"/>
      <w:docPartObj>
        <w:docPartGallery w:val="Page Numbers (Bottom of Page)"/>
        <w:docPartUnique/>
      </w:docPartObj>
    </w:sdtPr>
    <w:sdtContent>
      <w:p w14:paraId="6A446A54" w14:textId="77777777" w:rsidR="00FF69E7" w:rsidRDefault="00FF69E7" w:rsidP="004E69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C2A86">
          <w:rPr>
            <w:rStyle w:val="PageNumber"/>
            <w:noProof/>
          </w:rPr>
          <w:t>17</w:t>
        </w:r>
        <w:r>
          <w:rPr>
            <w:rStyle w:val="PageNumber"/>
          </w:rPr>
          <w:fldChar w:fldCharType="end"/>
        </w:r>
      </w:p>
    </w:sdtContent>
  </w:sdt>
  <w:p w14:paraId="5DAFFEF1" w14:textId="77777777" w:rsidR="00FF69E7" w:rsidRDefault="00FF69E7" w:rsidP="00FF69E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0F4D0" w14:textId="77777777" w:rsidR="000826E2" w:rsidRDefault="000826E2" w:rsidP="00FF69E7">
      <w:r>
        <w:separator/>
      </w:r>
    </w:p>
  </w:footnote>
  <w:footnote w:type="continuationSeparator" w:id="0">
    <w:p w14:paraId="44363738" w14:textId="77777777" w:rsidR="000826E2" w:rsidRDefault="000826E2" w:rsidP="00FF6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502" w:hanging="360"/>
      </w:pPr>
    </w:lvl>
    <w:lvl w:ilvl="1">
      <w:start w:val="1"/>
      <w:numFmt w:val="decimal"/>
      <w:pStyle w:val="Heading2"/>
      <w:lvlText w:val="%1.%2."/>
      <w:lvlJc w:val="left"/>
      <w:pPr>
        <w:ind w:left="934" w:hanging="432"/>
      </w:pPr>
    </w:lvl>
    <w:lvl w:ilvl="2">
      <w:start w:val="1"/>
      <w:numFmt w:val="decimal"/>
      <w:pStyle w:val="Heading3"/>
      <w:lvlText w:val="%1.%2.%3."/>
      <w:lvlJc w:val="left"/>
      <w:pPr>
        <w:ind w:left="1366"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1" w15:restartNumberingAfterBreak="0">
    <w:nsid w:val="0C3878E2"/>
    <w:multiLevelType w:val="multilevel"/>
    <w:tmpl w:val="AD400BE2"/>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 w15:restartNumberingAfterBreak="0">
    <w:nsid w:val="488D1E0B"/>
    <w:multiLevelType w:val="multilevel"/>
    <w:tmpl w:val="E4D09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4C33AFE"/>
    <w:multiLevelType w:val="multilevel"/>
    <w:tmpl w:val="E4D09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EC74DA"/>
    <w:multiLevelType w:val="multilevel"/>
    <w:tmpl w:val="E4D09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960078">
    <w:abstractNumId w:val="3"/>
  </w:num>
  <w:num w:numId="2" w16cid:durableId="1354918506">
    <w:abstractNumId w:val="4"/>
  </w:num>
  <w:num w:numId="3" w16cid:durableId="1888561654">
    <w:abstractNumId w:val="0"/>
  </w:num>
  <w:num w:numId="4" w16cid:durableId="2091389130">
    <w:abstractNumId w:val="1"/>
  </w:num>
  <w:num w:numId="5" w16cid:durableId="1376009369">
    <w:abstractNumId w:val="5"/>
  </w:num>
  <w:num w:numId="6" w16cid:durableId="105928940">
    <w:abstractNumId w:val="2"/>
  </w:num>
  <w:num w:numId="7" w16cid:durableId="1224488117">
    <w:abstractNumId w:val="6"/>
  </w:num>
  <w:num w:numId="8" w16cid:durableId="1977102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79D"/>
    <w:rsid w:val="0001666F"/>
    <w:rsid w:val="0003173B"/>
    <w:rsid w:val="00036527"/>
    <w:rsid w:val="00050955"/>
    <w:rsid w:val="000627A7"/>
    <w:rsid w:val="00073835"/>
    <w:rsid w:val="000753D7"/>
    <w:rsid w:val="000826E2"/>
    <w:rsid w:val="000A2DB0"/>
    <w:rsid w:val="000E6A7C"/>
    <w:rsid w:val="001035B5"/>
    <w:rsid w:val="00104044"/>
    <w:rsid w:val="001044E1"/>
    <w:rsid w:val="001150A3"/>
    <w:rsid w:val="00127D9D"/>
    <w:rsid w:val="001379FE"/>
    <w:rsid w:val="001542F5"/>
    <w:rsid w:val="00192461"/>
    <w:rsid w:val="001C0A13"/>
    <w:rsid w:val="001C344D"/>
    <w:rsid w:val="001D75AB"/>
    <w:rsid w:val="001E4DF5"/>
    <w:rsid w:val="001F73B8"/>
    <w:rsid w:val="002002A0"/>
    <w:rsid w:val="00220065"/>
    <w:rsid w:val="002337FE"/>
    <w:rsid w:val="00237C70"/>
    <w:rsid w:val="0025098F"/>
    <w:rsid w:val="00286085"/>
    <w:rsid w:val="002A17B0"/>
    <w:rsid w:val="002A3E24"/>
    <w:rsid w:val="002A76B8"/>
    <w:rsid w:val="003216CE"/>
    <w:rsid w:val="0035500D"/>
    <w:rsid w:val="00362E65"/>
    <w:rsid w:val="00365F66"/>
    <w:rsid w:val="0038602B"/>
    <w:rsid w:val="00386D31"/>
    <w:rsid w:val="003962D6"/>
    <w:rsid w:val="003F75DA"/>
    <w:rsid w:val="00404AA8"/>
    <w:rsid w:val="004158F9"/>
    <w:rsid w:val="00416EF0"/>
    <w:rsid w:val="00427DDB"/>
    <w:rsid w:val="0044417E"/>
    <w:rsid w:val="00457CF1"/>
    <w:rsid w:val="00466E1D"/>
    <w:rsid w:val="004C1AC1"/>
    <w:rsid w:val="004D3463"/>
    <w:rsid w:val="004D574F"/>
    <w:rsid w:val="004F0FB2"/>
    <w:rsid w:val="00556485"/>
    <w:rsid w:val="0056670D"/>
    <w:rsid w:val="005828EC"/>
    <w:rsid w:val="005907B2"/>
    <w:rsid w:val="005C4FBE"/>
    <w:rsid w:val="005F409C"/>
    <w:rsid w:val="00600EB1"/>
    <w:rsid w:val="00600FED"/>
    <w:rsid w:val="006173D6"/>
    <w:rsid w:val="006619AA"/>
    <w:rsid w:val="00683F34"/>
    <w:rsid w:val="006C5792"/>
    <w:rsid w:val="00747CCE"/>
    <w:rsid w:val="00763941"/>
    <w:rsid w:val="007842D8"/>
    <w:rsid w:val="00793E7A"/>
    <w:rsid w:val="007B3E96"/>
    <w:rsid w:val="007D4962"/>
    <w:rsid w:val="007D598B"/>
    <w:rsid w:val="007E391B"/>
    <w:rsid w:val="00801D84"/>
    <w:rsid w:val="008031EF"/>
    <w:rsid w:val="008346D3"/>
    <w:rsid w:val="00835CA2"/>
    <w:rsid w:val="00864092"/>
    <w:rsid w:val="00871B50"/>
    <w:rsid w:val="00885053"/>
    <w:rsid w:val="008A0909"/>
    <w:rsid w:val="008A6F94"/>
    <w:rsid w:val="008C6AD3"/>
    <w:rsid w:val="008F1F48"/>
    <w:rsid w:val="00901463"/>
    <w:rsid w:val="009341A9"/>
    <w:rsid w:val="009345A5"/>
    <w:rsid w:val="00935FB1"/>
    <w:rsid w:val="00946CB3"/>
    <w:rsid w:val="00960D74"/>
    <w:rsid w:val="009F2790"/>
    <w:rsid w:val="00A036B3"/>
    <w:rsid w:val="00A2350C"/>
    <w:rsid w:val="00A32257"/>
    <w:rsid w:val="00A46360"/>
    <w:rsid w:val="00A6336B"/>
    <w:rsid w:val="00A96284"/>
    <w:rsid w:val="00AB0B43"/>
    <w:rsid w:val="00AE18EF"/>
    <w:rsid w:val="00AE1BDD"/>
    <w:rsid w:val="00AE3759"/>
    <w:rsid w:val="00AE69A4"/>
    <w:rsid w:val="00B03F62"/>
    <w:rsid w:val="00B113B5"/>
    <w:rsid w:val="00B3547C"/>
    <w:rsid w:val="00B4379D"/>
    <w:rsid w:val="00B82E34"/>
    <w:rsid w:val="00B865AC"/>
    <w:rsid w:val="00BA3DF6"/>
    <w:rsid w:val="00BA4C62"/>
    <w:rsid w:val="00BB155A"/>
    <w:rsid w:val="00BF4A69"/>
    <w:rsid w:val="00C061CD"/>
    <w:rsid w:val="00C27329"/>
    <w:rsid w:val="00C31EEB"/>
    <w:rsid w:val="00C52A37"/>
    <w:rsid w:val="00C9029F"/>
    <w:rsid w:val="00CB12F2"/>
    <w:rsid w:val="00CB79C7"/>
    <w:rsid w:val="00CC32FA"/>
    <w:rsid w:val="00CD7212"/>
    <w:rsid w:val="00D44601"/>
    <w:rsid w:val="00D75368"/>
    <w:rsid w:val="00D91FF4"/>
    <w:rsid w:val="00D96E41"/>
    <w:rsid w:val="00DA32F4"/>
    <w:rsid w:val="00DB4721"/>
    <w:rsid w:val="00DC7005"/>
    <w:rsid w:val="00DE62DE"/>
    <w:rsid w:val="00E078DA"/>
    <w:rsid w:val="00E33FBC"/>
    <w:rsid w:val="00E84239"/>
    <w:rsid w:val="00ED3CD5"/>
    <w:rsid w:val="00F03E84"/>
    <w:rsid w:val="00F12158"/>
    <w:rsid w:val="00F56DF7"/>
    <w:rsid w:val="00FA42D0"/>
    <w:rsid w:val="00FB63E7"/>
    <w:rsid w:val="00FC2A86"/>
    <w:rsid w:val="00FC557F"/>
    <w:rsid w:val="00FF69E7"/>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91DFB"/>
  <w14:defaultImageDpi w14:val="300"/>
  <w15:docId w15:val="{95C698C2-0AA0-4A4A-BC27-2BDAB596F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E24"/>
    <w:rPr>
      <w:rFonts w:ascii="Times New Roman" w:eastAsia="Times New Roman" w:hAnsi="Times New Roman" w:cs="Times New Roman"/>
      <w:lang w:eastAsia="en-GB" w:bidi="bn-IN"/>
    </w:rPr>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table" w:styleId="TableGrid">
    <w:name w:val="Table Grid"/>
    <w:basedOn w:val="TableNormal"/>
    <w:uiPriority w:val="59"/>
    <w:rsid w:val="00CC32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03E84"/>
    <w:rPr>
      <w:b/>
      <w:bCs/>
    </w:rPr>
  </w:style>
  <w:style w:type="paragraph" w:styleId="Footer">
    <w:name w:val="footer"/>
    <w:basedOn w:val="Normal"/>
    <w:link w:val="FooterChar"/>
    <w:uiPriority w:val="99"/>
    <w:unhideWhenUsed/>
    <w:rsid w:val="00FF69E7"/>
    <w:pPr>
      <w:tabs>
        <w:tab w:val="center" w:pos="4513"/>
        <w:tab w:val="right" w:pos="9026"/>
      </w:tabs>
    </w:pPr>
  </w:style>
  <w:style w:type="character" w:customStyle="1" w:styleId="FooterChar">
    <w:name w:val="Footer Char"/>
    <w:basedOn w:val="DefaultParagraphFont"/>
    <w:link w:val="Footer"/>
    <w:uiPriority w:val="99"/>
    <w:rsid w:val="00FF69E7"/>
  </w:style>
  <w:style w:type="character" w:styleId="PageNumber">
    <w:name w:val="page number"/>
    <w:basedOn w:val="DefaultParagraphFont"/>
    <w:uiPriority w:val="99"/>
    <w:semiHidden/>
    <w:unhideWhenUsed/>
    <w:rsid w:val="00FF69E7"/>
  </w:style>
  <w:style w:type="paragraph" w:styleId="NormalWeb">
    <w:name w:val="Normal (Web)"/>
    <w:basedOn w:val="Normal"/>
    <w:uiPriority w:val="99"/>
    <w:semiHidden/>
    <w:unhideWhenUsed/>
    <w:rsid w:val="004D3463"/>
    <w:pPr>
      <w:spacing w:before="100" w:beforeAutospacing="1" w:after="100" w:afterAutospacing="1"/>
    </w:pPr>
  </w:style>
  <w:style w:type="character" w:styleId="Hyperlink">
    <w:name w:val="Hyperlink"/>
    <w:basedOn w:val="DefaultParagraphFont"/>
    <w:uiPriority w:val="99"/>
    <w:semiHidden/>
    <w:unhideWhenUsed/>
    <w:rsid w:val="004D3463"/>
    <w:rPr>
      <w:color w:val="0000FF"/>
      <w:u w:val="single"/>
    </w:rPr>
  </w:style>
  <w:style w:type="character" w:styleId="Emphasis">
    <w:name w:val="Emphasis"/>
    <w:basedOn w:val="DefaultParagraphFont"/>
    <w:uiPriority w:val="20"/>
    <w:qFormat/>
    <w:rsid w:val="004D3463"/>
    <w:rPr>
      <w:i/>
      <w:iCs/>
    </w:rPr>
  </w:style>
  <w:style w:type="character" w:customStyle="1" w:styleId="truncate">
    <w:name w:val="truncate"/>
    <w:basedOn w:val="DefaultParagraphFont"/>
    <w:rsid w:val="001035B5"/>
  </w:style>
  <w:style w:type="character" w:customStyle="1" w:styleId="text-sm">
    <w:name w:val="text-sm"/>
    <w:basedOn w:val="DefaultParagraphFont"/>
    <w:rsid w:val="001035B5"/>
  </w:style>
  <w:style w:type="character" w:customStyle="1" w:styleId="s1">
    <w:name w:val="s1"/>
    <w:basedOn w:val="DefaultParagraphFont"/>
    <w:rsid w:val="007842D8"/>
  </w:style>
  <w:style w:type="paragraph" w:customStyle="1" w:styleId="p2">
    <w:name w:val="p2"/>
    <w:basedOn w:val="Normal"/>
    <w:rsid w:val="007842D8"/>
    <w:pPr>
      <w:spacing w:before="100" w:beforeAutospacing="1" w:after="100" w:afterAutospacing="1"/>
    </w:pPr>
  </w:style>
  <w:style w:type="paragraph" w:customStyle="1" w:styleId="p3">
    <w:name w:val="p3"/>
    <w:basedOn w:val="Normal"/>
    <w:rsid w:val="007842D8"/>
    <w:pPr>
      <w:spacing w:before="100" w:beforeAutospacing="1" w:after="100" w:afterAutospacing="1"/>
    </w:pPr>
  </w:style>
  <w:style w:type="paragraph" w:customStyle="1" w:styleId="p1">
    <w:name w:val="p1"/>
    <w:basedOn w:val="Normal"/>
    <w:rsid w:val="00427DDB"/>
    <w:pPr>
      <w:spacing w:before="100" w:beforeAutospacing="1" w:after="100" w:afterAutospacing="1"/>
    </w:pPr>
  </w:style>
  <w:style w:type="paragraph" w:customStyle="1" w:styleId="p4">
    <w:name w:val="p4"/>
    <w:basedOn w:val="Normal"/>
    <w:rsid w:val="005907B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doi.org/10.1007/s10549-022-06837-4" TargetMode="External"/><Relationship Id="rId18" Type="http://schemas.openxmlformats.org/officeDocument/2006/relationships/hyperlink" Target="https://doi.org/10.1038/s41416-020-0784-z"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oi.org/10.36347/sasjm.2025.v11i01.017" TargetMode="External"/><Relationship Id="rId17" Type="http://schemas.openxmlformats.org/officeDocument/2006/relationships/hyperlink" Target="https://doi.org/10.5455/annalsmedres.2024.10.230" TargetMode="External"/><Relationship Id="rId2" Type="http://schemas.openxmlformats.org/officeDocument/2006/relationships/styles" Target="styles.xml"/><Relationship Id="rId16" Type="http://schemas.openxmlformats.org/officeDocument/2006/relationships/hyperlink" Target="https://doi.org/10.1136/esmoopen-2018-000324" TargetMode="External"/><Relationship Id="rId20" Type="http://schemas.openxmlformats.org/officeDocument/2006/relationships/hyperlink" Target="https://doi.org/10.1200/go-25-0058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srep1883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3892/ol.2020.11359" TargetMode="External"/><Relationship Id="rId23" Type="http://schemas.openxmlformats.org/officeDocument/2006/relationships/fontTable" Target="fontTable.xml"/><Relationship Id="rId10" Type="http://schemas.openxmlformats.org/officeDocument/2006/relationships/hyperlink" Target="https://doi.org/10.1101/2022.12.02.22283032" TargetMode="External"/><Relationship Id="rId19" Type="http://schemas.openxmlformats.org/officeDocument/2006/relationships/hyperlink" Target="https://doi.org/10.1038/bjc.2015.127" TargetMode="External"/><Relationship Id="rId4" Type="http://schemas.openxmlformats.org/officeDocument/2006/relationships/webSettings" Target="webSettings.xml"/><Relationship Id="rId9" Type="http://schemas.openxmlformats.org/officeDocument/2006/relationships/hyperlink" Target="https://doi.org/10.1371/journal.pone.0257271" TargetMode="External"/><Relationship Id="rId14" Type="http://schemas.openxmlformats.org/officeDocument/2006/relationships/hyperlink" Target="https://doi.org/10.1186/s12885-019-6311-z" TargetMode="External"/><Relationship Id="rId22" Type="http://schemas.openxmlformats.org/officeDocument/2006/relationships/footer" Target="footer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5829</Words>
  <Characters>33227</Characters>
  <Application>Microsoft Office Word</Application>
  <DocSecurity>0</DocSecurity>
  <Lines>276</Lines>
  <Paragraphs>77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38979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Rakibul Islam</dc:creator>
  <cp:keywords/>
  <dc:description/>
  <cp:lastModifiedBy>Ibrahim All-Mamun</cp:lastModifiedBy>
  <cp:revision>2</cp:revision>
  <dcterms:created xsi:type="dcterms:W3CDTF">2026-07-28T18:38:00Z</dcterms:created>
  <dcterms:modified xsi:type="dcterms:W3CDTF">2026-07-28T18:38:00Z</dcterms:modified>
  <cp:category/>
</cp:coreProperties>
</file>