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1a. Demographic characteristics and co-morbidities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Age group (years)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0.532</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0.860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 (51.5%)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0.002</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 (55.4%)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0.789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Ischaemic 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 (62.4%)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0.567</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COPD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(46.5%)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(46.7%)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(46.2%)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0.964</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Fisher's exact test; Pearson's Chi-squared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1b. Source of infection and clinical management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Respiratory</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(35.6%)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(37.3%)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(30.8%)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0.547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Urinary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Gastrointestinal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&gt;0.999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Skin / soft tissue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0.162</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Antimicrobial therapy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Supplemental oxygen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0.123</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Vasopressor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(3.0%)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(11.5%)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0.016</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Pearson's Chi-squared test; Fisher's exact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Source of infection is not mutually exclusive - two patients had two sites recorded, so the site rows do not sum to N. Vasopressor use is taken from a SOFA cardiovascular sub-score of 2 or more.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1c. Severity of illness scores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NEWS, day 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5.00 (4.00-6.00)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4.00 (4.00-6.00)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6.00 (5.00-8.00)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NEWS,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6.00 (5.00-7.00)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5.00 (5.00-6.00)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8.00 (6.00-9.00)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NEWS,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7.00 (5.00-10.00)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6.00 (5.00-8.00)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12.50 (11.00-14.00)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SOFA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4.00 (3.00-5.00)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 (3.00-4.00)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5.50 (4.00-8.00)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GCS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15.00 (14.00-15.00)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15.00 (15.00-15.00)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13.00 (12.00-15.00)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Median (Q1-Q3)</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Wilcoxon rank sum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NEWS, national early warning score; SOFA, sequential organ failure assessment; GCS, Glasgow coma scale. SOFA and GCS are day-0 values.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1d. Biochemical parameters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Creatinine (mg/dL)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(0.86)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 (0.82)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2.15 (0.92)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Total bilirubin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0.97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0.91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0.340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PaO2/FiO2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319.23 (68.70)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327.97 (60.17)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294.00 (85.25)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ALT (U/L)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43.00 (41.00-47.00)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43.00 (41.00-46.00)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43.00 (39.00-55.00)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AST (U/L)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33.00 (32.00-37.00)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33.00 (32.00-36.00)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34.00 (32.00-38.00)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0.223</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Sodium (mmol/L)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138.00 (134.00-144.00)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138.00 (136.00-144.00)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132.50 (130.00-138.00)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Potassium (mmol/L)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4.20 (3.80-4.70)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 (3.70-4.80)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3.90 (3.80-4.30)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0.536</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Random blood glucose (mmol/L)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6.40 (5.80-7.80)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6.30 (5.70-7.20)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7.85 (6.30-13.20)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0.001</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Lactate (mmol/L)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0.50 (0.50-0.91)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0.50 (0.50-0.50)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(0.50-3.28)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Mean (SD); Median (Q1-Q3)</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Welch Two Sample t-test; Wilcoxon rank sum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Creatinine, total bilirubin and PaO2/FiO2 are mean (SD) and compared by t test, as in the reference paper; the rest are median (IQR).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1e. Haematological parameters and derived ratios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Neutrophil, day 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11.36 (9.75-15.99)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11.31 (9.36-13.95)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14.55 (10.47-18.50)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0.056</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Neutrophil,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11.25 (8.87-15.30)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10.83 (8.56-13.12)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13.30 (10.60-18.62)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0.020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Neutrophil,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10.26 (8.08-13.50)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9.72 (7.74-11.49)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14.94 (12.00-19.35)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Lymphocyte,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 (0.61-1.04)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0.80 (0.61-1.06)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 (0.60-0.99)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0.641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Lymphocyte,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0.90 (0.74-1.21)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0.90 (0.74-1.21)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0.89 (0.73-1.26)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0.966</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Lymphocyte,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(0.85-1.20)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(1.00-1.21)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0.75 (0.57-0.99)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Platelet,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150.00 (130.00-190.00)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149.00 (130.00-180.00)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178.00 (115.00-211.00)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0.047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Platelet,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172.00 (130.00-205.00)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180.00 (150.00-205.00)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151.50 (105.00-200.00)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0.193</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Platelet,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230.00 (182.00-280.00)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235.00 (210.00-280.00)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149.00 (95.00-190.00)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NLR,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16.00 (12.82-19.49)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14.95 (12.76-18.36)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18.06 (13.18-22.24)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0.094</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NLR,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12.64 (9.69-14.83)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12.05 (9.69-14.33)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14.22 (9.88-17.80)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NLR,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9.00 (7.80-12.86)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8.41 (7.31-9.33)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18.00 (13.66-22.83)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NLPR,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10.23 (8.76-12.23)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10.51 (9.05-12.69)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9.90 (7.28-11.98)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0.527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NLPR,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7.32 (6.11-9.18)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7.04 (5.96-7.89)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9.42 (8.50-10.89)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NLPR, day 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6.79 (6.11-8.20)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6.51 (5.94-7.16)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10.21 (8.47-14.14)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Median (Q1-Q3)</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Wilcoxon rank sum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Neutrophil, lymphocyte and platelet counts are 10^9/L. NLR = neutrophil / lymphocyte; NLPR = NLR x 100 / platelet count. Day-3 platelet count and NLPR are missing for two patients whose recorded platelet value was implausible and was voided in cleaning.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2. Multivariable logistic regression exploring the association of NEWS (d5) with in-hospital mortality</w:t>
      </w:r>
    </w:p>
    <w:tbl xmlns:a="http://schemas.openxmlformats.org/drawingml/2006/main" xmlns:pic="http://schemas.openxmlformats.org/drawingml/2006/picture">
      <w:tblPr>
        <w:tblLayout w:type="fixed"/>
        <w:jc w:val="center"/>
        <w:tblLook w:firstRow="1" w:lastRow="0" w:firstColumn="0" w:lastColumn="0" w:noHBand="0" w:noVBand="1"/>
      </w:tblPr>
      <w:tblGrid>
        <w:gridCol w:w="1980"/>
        <w:gridCol w:w="1204"/>
        <w:gridCol w:w="1570"/>
        <w:gridCol w:w="860"/>
      </w:tblGrid>
      <w:tr>
        <w:trPr>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Odds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1.838-32.040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&lt;0.001</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Sex (male 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0.003-3.682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0.325</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40-59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0.046-10.666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0.676</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60-74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&lt;0.001-449.218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0.976</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75+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&lt;0.001-&gt;1000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0.169</w:t>
            </w:r>
          </w:p>
        </w:tc>
      </w:tr>
      <w:tr>
        <w:trPr>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SOFA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1.809-85.712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&lt;0.001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pPr>
        <w:pStyle w:val=""/>
      </w:pPr>
      <w:r>
        <w:t xml:space="preserve"/>
      </w:r>
    </w:p>
    <w:p>
      <w:pPr>
        <w:pStyle w:val="Titre1"/>
      </w:pPr>
      <w:r>
        <w:t xml:space="preserve">Table 3. Multivariable logistic regression exploring the association of NLPR (d5) with in-hospital mortality</w:t>
      </w:r>
    </w:p>
    <w:tbl xmlns:a="http://schemas.openxmlformats.org/drawingml/2006/main" xmlns:pic="http://schemas.openxmlformats.org/drawingml/2006/picture">
      <w:tblPr>
        <w:tblLayout w:type="fixed"/>
        <w:jc w:val="center"/>
        <w:tblLook w:firstRow="1" w:lastRow="0" w:firstColumn="0" w:lastColumn="0" w:noHBand="0" w:noVBand="1"/>
      </w:tblPr>
      <w:tblGrid>
        <w:gridCol w:w="1980"/>
        <w:gridCol w:w="1204"/>
        <w:gridCol w:w="1465"/>
        <w:gridCol w:w="860"/>
      </w:tblGrid>
      <w:tr>
        <w:trPr>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Odds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14.639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3.610-19.296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&lt;0.001</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Sex (male 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1.047-293.351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0.045</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40-59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0.007-0.926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0.044</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60-74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0.324-9.931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0.694</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75+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0.036</w:t>
            </w:r>
          </w:p>
        </w:tc>
      </w:tr>
      <w:tr>
        <w:trPr>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SOFA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1.367-6.665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0.002</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pPr/>
      <w:r>
        <w:br w:type="page"/>
      </w:r>
    </w:p>
    <w:p>
      <w:pPr>
        <w:pStyle w:val="Titre1"/>
      </w:pPr>
      <w:r>
        <w:t xml:space="preserve">Table 4. Predictive value of NEWS and NLPR at different time points for in-hospital mortality of sepsis patients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Cut-off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PPV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NPV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AUC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0.619-0.854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0.696-0.910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0.900-0.990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0.317-0.599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0.625-0.877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0.901-0.994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(d5) &amp; age &amp; SOFA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0.978-1.000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Cut-off is the Youden-optimal point. NEWS is an integer score, so its cut-off falls between two whole numbers. The AUC confidence interval and the test of AUC = 0.5 use the DeLong method; where the AUC is exactly 1 that variance is zero and the equivalent exact Mann-Whitney test is reported instead. The combined row is on the predicted-probability scale of a Firth logistic model containing NLPR (d5), age group and SOFA; at that cut-off, for the &lt;40 year age group and SOFA at its median (4), the corresponding NLPR (d5) is 7.82. PPV and NPV are evaluated at the same cut-off and therefore embed this cohort's in-hospital mortality of 25.7% as the prior; they do not transfer to a population with a different death rate, whereas sensitivity, specificity and the AUC do. AUC, area under the ROC curve; CI, confidence interval; PPV, positive predictive value; NPV, negative predictive value.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2026-09-17T00:02:55Z</dcterms:modified>
  <cp:category/>
</cp:coreProperties>
</file>