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Patient characteristics and clinical subtype of patients diag nosed with de novo or metachronous metastatic breast cancer (MBC)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&gt;10-12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5001-10000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10001-15000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HER2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Clinical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Tumour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(82%)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Disease and metastasis characteristics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89"/>
        <w:gridCol w:w="1364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 (no. of sites)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(CNS)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 breast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Other/multiple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 disease stage (Recurrent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NA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Treatment patterns by MBC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>
        <w:trPr>
          <w:trHeight w:val="457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systemic 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Chemotherapy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Hormonal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Targeted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Palliative radiotherapy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Zoledronic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 in treatment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Radiological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Progressive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Median overall survival and hazard ratios – de novo vs. Recurrent MBC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8"/>
        <w:gridCol w:w="1927"/>
        <w:gridCol w:w="655"/>
        <w:gridCol w:w="2440"/>
        <w:gridCol w:w="2148"/>
        <w:gridCol w:w="1364"/>
        <w:gridCol w:w="3616"/>
        <w:gridCol w:w="112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Subtype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OS (months)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(unadj.)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(adj.)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(0.23–0.82)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(0.20–0.94)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(0.10–1.21)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(0.08–5.42)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(0.13–1.51)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(0.14–6.76)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(0.10–0.96)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(0.00–0.31)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(0.11–13.78)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81611.42 (5104.70–1304763.23)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5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5.Hazard ratios by MBC type and prior disease stage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5"/>
        <w:gridCol w:w="839"/>
        <w:gridCol w:w="1389"/>
        <w:gridCol w:w="1181"/>
      </w:tblGrid>
      <w:tr>
        <w:trPr>
          <w:trHeight w:val="45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group / prior stage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Prior Stage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Prior Stage 1/2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– Stage 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0.02, 1.31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2026-07-29T09:26:48Z</dcterms:modified>
  <cp:category/>
</cp:coreProperties>
</file>