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Patient characteristics and clinical subtype of patients diag nosed with de novo or metachronous metastatic breast cancer (MBC)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5001-10000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10001-15000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Tumour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Disease and metastasis characteristics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89"/>
        <w:gridCol w:w="1364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 (no. of sites)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(CNS)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 breast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Other/multiple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 disease stage (Recurrent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NA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Treatment patterns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systemic 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Hormonal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Palliative radiotherapy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 in treatment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Radiological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Progressive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Median overall survival and hazard ratios – de novo vs. Recurrent MBC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8"/>
        <w:gridCol w:w="1927"/>
        <w:gridCol w:w="655"/>
        <w:gridCol w:w="2440"/>
        <w:gridCol w:w="2025"/>
        <w:gridCol w:w="1364"/>
        <w:gridCol w:w="2025"/>
        <w:gridCol w:w="112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OS (months)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(unadj.)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(adj.)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(0.23–0.82)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(0.20–1.01)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(0.18–6.50)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(0.04–4.94)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(1.00–1.00)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5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5.Hazard ratios by MBC type and prior disease stage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5"/>
        <w:gridCol w:w="839"/>
        <w:gridCol w:w="1389"/>
        <w:gridCol w:w="1181"/>
      </w:tblGrid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group / prior stage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Prior Stage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Prior Stage 1/2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Stage 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0.02, 1.27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2026-07-29T09:24:02Z</dcterms:modified>
  <cp:category/>
</cp:coreProperties>
</file>