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75"/>
        <w:gridCol w:w="1548"/>
      </w:tblGrid>
      <w:tr>
        <w:trPr>
          <w:trHeight w:val="574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135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(17%)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35-45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(34%)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45-55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(24%)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(24%)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 (100%)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breast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Stage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 (99%)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Molecular subtype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HR+/HER2+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HR+/HER2-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(41%)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HR-/HER2+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HR-/HER2-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(16%)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(2.2%)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Duct cell 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(35%)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Infiltrating duct cell 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(53%)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Lobular cell 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(3.7%)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Infiltrating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(1.5%)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Invasive 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(4.4%)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(6.9%)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(50%)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(43%)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Lung metastasis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(38%)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Liver metastasis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(9.7%)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Brain metastasis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 (41%)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Bone metastasis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(47%)</w:t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Opposite-breast metastasis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(10%)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2026-07-28T20:57:13Z</dcterms:modified>
  <cp:category/>
</cp:coreProperties>
</file>