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2.** Disease and metastasis characteristics by MBC type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65"/>
        <w:gridCol w:w="1364"/>
        <w:gridCol w:w="1963"/>
        <w:gridCol w:w="2599"/>
        <w:gridCol w:w="1242"/>
      </w:tblGrid>
      <w:tr>
        <w:trPr>
          <w:trHeight w:val="457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MBC Type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Disease 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134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 novo MBC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Metachronous MBC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Metastatic burden (no. of sites)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2-3 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&gt;3 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Lung metastasis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Liver metastasis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Brain (CNS) metastasis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Bone metastasis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Opposite breast metastasis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Other/multiple 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Prior disease stage (metachronous only)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(52%)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(52%)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test; NA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2026-06-14T06:29:55Z</dcterms:modified>
  <cp:category/>
</cp:coreProperties>
</file>