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Median overall survival and hazard ratios – de novo vs. metachronous MBC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22"/>
        <w:gridCol w:w="2355"/>
        <w:gridCol w:w="655"/>
        <w:gridCol w:w="2550"/>
        <w:gridCol w:w="2148"/>
        <w:gridCol w:w="1413"/>
        <w:gridCol w:w="3065"/>
        <w:gridCol w:w="1144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 Subtype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OS (months)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 (unadjusted)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(unadj.)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 (adjusted)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(adj.)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Metachronous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 (0.15–0.62)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 (0.15–0.75)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HR+/HER2+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Metachronous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(0.00–Inf)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(0.00–Inf)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HR+/HER2-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Metachronous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 (0.06–14.83)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(0.00–Inf)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HR-/HER2+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Metachronous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(0.00–Inf)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(0.00–Inf)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HR-/HER2-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Metachronous MBC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(0.00–Inf)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10609039422.57 (0.00–Inf)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2026-06-14T06:29:58Z</dcterms:modified>
  <cp:category/>
</cp:coreProperties>
</file>