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5.** Hazard ratios by MBC type and prior disease stage in HR+ patients (sub-analysis)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33"/>
        <w:gridCol w:w="839"/>
        <w:gridCol w:w="1389"/>
        <w:gridCol w:w="1181"/>
      </w:tblGrid>
      <w:tr>
        <w:trPr>
          <w:trHeight w:val="45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group / prior stage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– Prior 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– Prior Stage 1/2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0.09, 0.68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Metachronous – Stage 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2026-06-14T06:29:57Z</dcterms:modified>
  <cp:category/>
</cp:coreProperties>
</file>