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b/>
          <w:bCs/>
          <w:color w:val="2E75B6"/>
          <w:sz w:val="52"/>
          <w:szCs w:val="52"/>
        </w:rPr>
        <w:t xml:space="preserve">Hardware Design Specification</w:t>
      </w:r>
    </w:p>
    <w:p>
      <w:pPr>
        <w:spacing w:after="480"/>
        <w:jc w:val="center"/>
      </w:pPr>
      <w:r>
        <w:rPr>
          <w:b/>
          <w:bCs/>
          <w:color w:val="2E75B6"/>
          <w:sz w:val="52"/>
          <w:szCs w:val="52"/>
        </w:rPr>
        <w:t xml:space="preserve">&amp; Verification Report</w:t>
      </w:r>
    </w:p>
    <w:p>
      <w:pPr>
        <w:spacing w:after="120"/>
        <w:jc w:val="center"/>
      </w:pPr>
      <w:r>
        <w:rPr>
          <w:b/>
          <w:bCs/>
          <w:sz w:val="30"/>
          <w:szCs w:val="30"/>
        </w:rPr>
        <w:t xml:space="preserve">Out-of-Order LEGv8 Processor</w:t>
      </w:r>
    </w:p>
    <w:p>
      <w:pPr>
        <w:spacing w:after="720"/>
        <w:jc w:val="center"/>
      </w:pPr>
      <w:r>
        <w:rPr>
          <w:i/>
          <w:iCs/>
          <w:sz w:val="26"/>
          <w:szCs w:val="26"/>
        </w:rPr>
        <w:t xml:space="preserve">Tomasulo's Algorithm with Branch Prediction</w:t>
      </w:r>
    </w:p>
    <w:p>
      <w:pPr>
        <w:spacing w:after="120"/>
        <w:jc w:val="center"/>
      </w:pPr>
      <w:r>
        <w:rPr>
          <w:i/>
          <w:iCs/>
          <w:color w:val="808080"/>
          <w:sz w:val="20"/>
          <w:szCs w:val="20"/>
        </w:rPr>
        <w:t xml:space="preserve">Document structured per the artifact model of RTCA/DO-254</w:t>
      </w:r>
    </w:p>
    <w:p>
      <w:pPr>
        <w:spacing w:after="1200"/>
        <w:jc w:val="center"/>
      </w:pPr>
      <w:r>
        <w:rPr>
          <w:i/>
          <w:iCs/>
          <w:color w:val="808080"/>
          <w:sz w:val="20"/>
          <w:szCs w:val="20"/>
        </w:rPr>
        <w:t xml:space="preserve">(Design Assurance Guidance for Airborne Electronic Hardware)</w:t>
      </w:r>
    </w:p>
    <w:p>
      <w:pPr>
        <w:spacing w:after="60"/>
        <w:jc w:val="center"/>
      </w:pPr>
      <w:r>
        <w:rPr>
          <w:b/>
          <w:bCs/>
          <w:sz w:val="24"/>
          <w:szCs w:val="24"/>
        </w:rPr>
        <w:t xml:space="preserve">Ibrahim Imran</w:t>
      </w:r>
    </w:p>
    <w:p>
      <w:pPr>
        <w:spacing w:after="60"/>
        <w:jc w:val="center"/>
      </w:pPr>
      <w:r>
        <w:rPr>
          <w:sz w:val="20"/>
          <w:szCs w:val="20"/>
        </w:rPr>
        <w:t xml:space="preserve">University of Washington — Electrical &amp; Computer Engineering</w:t>
      </w:r>
    </w:p>
    <w:p>
      <w:pPr>
        <w:jc w:val="center"/>
      </w:pPr>
      <w:r>
        <w:rPr>
          <w:color w:val="808080"/>
          <w:sz w:val="20"/>
          <w:szCs w:val="20"/>
        </w:rPr>
        <w:t xml:space="preserve">Document Revision 0.1 — DRAFT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FF2CC" w:val="clear"/>
            <w:tcMar>
              <w:top w:type="dxa" w:w="160"/>
              <w:left w:type="dxa" w:w="200"/>
              <w:bottom w:type="dxa" w:w="160"/>
              <w:right w:type="dxa" w:w="200"/>
            </w:tcMar>
          </w:tcPr>
          <w:p>
            <w:pPr>
              <w:spacing w:after="80"/>
            </w:pPr>
            <w:r>
              <w:rPr>
                <w:b/>
                <w:bCs/>
                <w:sz w:val="22"/>
                <w:szCs w:val="22"/>
              </w:rPr>
              <w:t xml:space="preserve">Scope &amp; Compliance Disclaimer</w:t>
            </w:r>
          </w:p>
          <w:p>
            <w:r>
              <w:rPr>
                <w:sz w:val="20"/>
                <w:szCs w:val="20"/>
              </w:rPr>
              <w:t xml:space="preserve">This document is modeled on the structure and discipline of RTCA/DO-254 artifacts as an engineering and educational exercise. It is NOT a certified DO-254 compliance package. No independent process assurance, no certification-authority involvement, and no Stage-of-Involvement (SOI) audits have been performed. The intent is to demonstrate familiarity with requirements-driven hardware development and bidirectional traceability, not to assert airworthiness or certification.</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 &amp; Purpose</w:t>
      </w:r>
    </w:p>
    <w:p>
      <w:pPr>
        <w:spacing w:after="120"/>
      </w:pPr>
      <w:r>
        <w:t xml:space="preserve">This Hardware Design Specification &amp; Verification Report (HDS&amp;VR) captures the requirements, design description, and verification evidence for an out-of-order LEGv8/ARMv8 processor implementing Tomasulo's algorithm with branch prediction. It is maintained incrementally: each design module adds its requirements, design notes, and verification results, with every requirement traced to both the design element that implements it and the test that verifies it.</w:t>
      </w:r>
    </w:p>
    <w:p>
      <w:pPr>
        <w:pStyle w:val="Heading2"/>
      </w:pPr>
      <w:r>
        <w:t xml:space="preserve">1.1 Document Conventions</w:t>
      </w:r>
    </w:p>
    <w:p>
      <w:pPr>
        <w:pStyle w:val="ListParagraph"/>
        <w:numPr>
          <w:ilvl w:val="0"/>
          <w:numId w:val="2"/>
        </w:numPr>
        <w:spacing w:after="60"/>
      </w:pPr>
      <w:r>
        <w:t xml:space="preserve">Requirements are identified as HW-REQ-NNN and are stated using “shall.”</w:t>
      </w:r>
    </w:p>
    <w:p>
      <w:pPr>
        <w:pStyle w:val="ListParagraph"/>
        <w:numPr>
          <w:ilvl w:val="0"/>
          <w:numId w:val="2"/>
        </w:numPr>
        <w:spacing w:after="60"/>
      </w:pPr>
      <w:r>
        <w:t xml:space="preserve">Design elements are identified as DES-NNN and reference a specific SystemVerilog module.</w:t>
      </w:r>
    </w:p>
    <w:p>
      <w:pPr>
        <w:pStyle w:val="ListParagraph"/>
        <w:numPr>
          <w:ilvl w:val="0"/>
          <w:numId w:val="2"/>
        </w:numPr>
        <w:spacing w:after="60"/>
      </w:pPr>
      <w:r>
        <w:t xml:space="preserve">Test cases are identified as TC-NNN and produce a PASS/FAIL result.</w:t>
      </w:r>
    </w:p>
    <w:p>
      <w:pPr>
        <w:pStyle w:val="ListParagraph"/>
        <w:numPr>
          <w:ilvl w:val="0"/>
          <w:numId w:val="2"/>
        </w:numPr>
        <w:spacing w:after="60"/>
      </w:pPr>
      <w:r>
        <w:t xml:space="preserve">Derived requirements (not traceable to a higher-level source, arising from design decisions) are flagged as such.</w:t>
      </w:r>
    </w:p>
    <w:p>
      <w:pPr>
        <w:pStyle w:val="Heading2"/>
      </w:pPr>
      <w:r>
        <w:t xml:space="preserve">1.2 Applicable Reference Model</w:t>
      </w:r>
    </w:p>
    <w:p>
      <w:pPr>
        <w:spacing w:after="120"/>
      </w:pPr>
      <w:r>
        <w:t xml:space="preserve">The document structure follows the artifact set described in RTCA/DO-254: a requirements data set, a design description, a verification plan with results, and a requirements traceability matrix. See the disclaimer on the cover page regarding the limits of this analogy.</w:t>
      </w:r>
    </w:p>
    <w:p>
      <w:pPr>
        <w:pStyle w:val="Heading1"/>
      </w:pPr>
      <w:r>
        <w:t xml:space="preserve">2. System Overview</w:t>
      </w:r>
    </w:p>
    <w:p>
      <w:pPr>
        <w:spacing w:after="120"/>
      </w:pPr>
      <w:r>
        <w:t xml:space="preserve">The target is a dynamically-scheduled processor core for the LEGv8 (ARMv8 subset) instruction set. Instructions issue in program order into reservation stations, execute out of order as operands become available, broadcast results on a Common Data Bus (CDB), and commit in program order via a reorder buffer. A global-history branch predictor enables speculative issue past unresolved branches; the reorder buffer makes misprediction recovery a discard operation rather than an architectural-state repair.</w:t>
      </w:r>
    </w:p>
    <w:p>
      <w:pPr>
        <w:spacing w:after="120"/>
      </w:pPr>
      <w:r>
        <w:rPr>
          <w:i/>
          <w:iCs/>
          <w:color w:val="808080"/>
        </w:rPr>
        <w:t xml:space="preserve">[Fill in: insert top-level block diagram here once the integration architecture is fixed.]</w:t>
      </w:r>
    </w:p>
    <w:p>
      <w:pPr>
        <w:pStyle w:val="Heading2"/>
      </w:pPr>
      <w:r>
        <w:t xml:space="preserve">2.1 Reused vs. New Design Elements</w:t>
      </w:r>
    </w:p>
    <w:p>
      <w:pPr>
        <w:spacing w:after="120"/>
      </w:pPr>
      <w:r>
        <w:t xml:space="preserve">Functional leaf modules are reused from prior in-order coursework (EE469) where they carry no pipeline assumptions; the out-of-order control structure is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Element</w:t>
            </w:r>
          </w:p>
        </w:tc>
        <w:tc>
          <w:tcPr>
            <w:tcW w:type="dxa" w:w="2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Origin</w:t>
            </w:r>
          </w:p>
        </w:tc>
        <w:tc>
          <w:tcPr>
            <w:tcW w:type="dxa" w:w="41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Status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regfile.sv</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EE469 (reused)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Architectural register file, unmodified</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alu.sv / aluOneBitSlice.sv</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EE469 (reused)</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Functional unit; CDB timing risk noted (DES-NOTE)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branch.sv (Offset, brancher)</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EE469 (reused)</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Branch target + resolution logic</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control.sv</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EE469 (template)</w:t>
            </w:r>
          </w:p>
        </w:tc>
        <w:tc>
          <w:tcPr>
            <w:tcW w:type="dxa" w:w="4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Extended into issue-stage decoder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Out-of-order control</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New</w:t>
            </w:r>
          </w:p>
        </w:tc>
        <w:tc>
          <w:tcPr>
            <w:tcW w:type="dxa" w:w="4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RS, CDB, RST, ROB, predictor</w:t>
            </w:r>
          </w:p>
        </w:tc>
      </w:tr>
    </w:tbl>
    <w:p>
      <w:pPr>
        <w:pStyle w:val="Heading1"/>
      </w:pPr>
      <w:r>
        <w:t xml:space="preserve">3. Hardware Requirements Data (HRD)</w:t>
      </w:r>
    </w:p>
    <w:p>
      <w:pPr>
        <w:spacing w:after="120"/>
      </w:pPr>
      <w:r>
        <w:t xml:space="preserve">Requirements are grouped by module. As each module is implemented, its requirements are added here and linked into the traceability matrix in Section 6. The table below is seeded with Module 1 (issue-stage classification) and is to be extended.</w:t>
      </w:r>
    </w:p>
    <w:p>
      <w:pPr>
        <w:pStyle w:val="Heading2"/>
      </w:pPr>
      <w:r>
        <w:t xml:space="preserve">3.1 Module 1 — Issue-Stage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360"/>
        <w:gridCol w:w="1500"/>
      </w:tblGrid>
      <w:tr>
        <w:trPr>
          <w:tblHeader/>
        </w:trP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ID</w:t>
            </w:r>
          </w:p>
        </w:tc>
        <w:tc>
          <w:tcPr>
            <w:tcW w:type="dxa" w:w="6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Requirement</w:t>
            </w:r>
          </w:p>
        </w:tc>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Source</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HW-REQ-001</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The classifier shall route each valid instruction to exactly one reservation-station class (branch RS, load buffer, store buffer, or ALU RS).</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Tomasulo issue stage</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HW-REQ-002</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When the valid input is deasserted, the classifier shall assert no routing output (idle).</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Pipeline bubble handling</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HW-REQ-003</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Branch-class instructions (B, CBZ, B.LT, BL) shall route to the branch RS, taking priority over register-write decoding.</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BL writes X30 yet is a branch (derived)</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HW-REQ-004</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Load instructions (MRead asserted) shall route to the load buffer.</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Memory disambiguation</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HW-REQ-005</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Store instructions (MWrite asserted) shall route to the store buffer.</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Memory disambiguation</w:t>
            </w:r>
          </w:p>
        </w:tc>
      </w:tr>
      <w:tr>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HW-REQ-006</w:t>
            </w:r>
          </w:p>
        </w:tc>
        <w:tc>
          <w:tcPr>
            <w:tcW w:type="dxa" w:w="6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Any valid instruction not classified as branch, load, or store shall route to the ALU RS by default.</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Data-processing ops</w:t>
            </w:r>
          </w:p>
        </w:tc>
      </w:tr>
      <w:tr>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HW-REQ-007</w:t>
            </w:r>
          </w:p>
        </w:tc>
        <w:tc>
          <w:tcPr>
            <w:tcW w:type="dxa" w:w="6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BR (branch-to-register) is explicitly out of scope for Module 1 and may misroute to the ALU RS; this is a known limitation.</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Derived / scoping</w:t>
            </w:r>
          </w:p>
        </w:tc>
      </w:tr>
    </w:tbl>
    <w:p>
      <w:pPr>
        <w:spacing w:after="120"/>
      </w:pPr>
      <w:r>
        <w:rPr>
          <w:i/>
          <w:iCs/>
          <w:color w:val="808080"/>
        </w:rPr>
        <w:t xml:space="preserve">[Extend: add HW-REQ-0xx blocks for the Register Status Table, reservation stations, CDB, load/store buffers, branch RS, predictor, and reorder buffer as each module is built.]</w:t>
      </w:r>
    </w:p>
    <w:p>
      <w:pPr>
        <w:pStyle w:val="Heading1"/>
      </w:pPr>
      <w:r>
        <w:t xml:space="preserve">4. Hardware Design Description</w:t>
      </w:r>
    </w:p>
    <w:p>
      <w:pPr>
        <w:spacing w:after="120"/>
      </w:pPr>
      <w:r>
        <w:t xml:space="preserve">Each design element below references a SystemVerilog module and the requirements it implements. Design notes capture decisions, derived requirements, and known risks.</w:t>
      </w:r>
    </w:p>
    <w:p>
      <w:pPr>
        <w:pStyle w:val="Heading2"/>
      </w:pPr>
      <w:r>
        <w:t xml:space="preserve">4.1 DES-001 — classification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Field</w:t>
            </w:r>
          </w:p>
        </w:tc>
        <w:tc>
          <w:tcPr>
            <w:tcW w:type="dxa" w:w="7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Detail</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Module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Module1/classification.sv</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Implements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HW-REQ-001 through HW-REQ-007</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Type</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Combinational (always_comb), one-hot output</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Inputs</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CBZBr, LTBr, UncondBranch, BL, MRead, MWrite, valid</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Outputs</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toBranchRS, toLoadBuf, toStoreBuf, toAluRS</w:t>
            </w:r>
          </w:p>
        </w:tc>
      </w:tr>
      <w:tr>
        <w:tc>
          <w:tcPr>
            <w:tcW w:type="dxa" w:w="20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Design note</w:t>
            </w:r>
          </w:p>
        </w:tc>
        <w:tc>
          <w:tcPr>
            <w:tcW w:type="dxa" w:w="7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Priority chain checks branch flags first so BL (which also asserts RWrite upstream) routes to the branch RS rather than the ALU RS. ALU is the default fall-through. The valid gate enforces the all-zero idle state.</w:t>
            </w:r>
          </w:p>
        </w:tc>
      </w:tr>
      <w:tr>
        <w:tc>
          <w:tcPr>
            <w:tcW w:type="dxa" w:w="20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Known risk</w:t>
            </w:r>
          </w:p>
        </w:tc>
        <w:tc>
          <w:tcPr>
            <w:tcW w:type="dxa" w:w="7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BR/BRsel not evaluated (HW-REQ-007). Reused ALU carry-chain gate delays (#50) pose a CDB broadcast settling risk to be assessed at integration.</w:t>
            </w:r>
          </w:p>
        </w:tc>
      </w:tr>
    </w:tbl>
    <w:p>
      <w:pPr>
        <w:spacing w:after="120"/>
      </w:pPr>
      <w:r>
        <w:rPr>
          <w:i/>
          <w:iCs/>
          <w:color w:val="808080"/>
        </w:rPr>
        <w:t xml:space="preserve">[Extend: one DES block per module as implemented.]</w:t>
      </w:r>
    </w:p>
    <w:p>
      <w:pPr>
        <w:pStyle w:val="Heading1"/>
      </w:pPr>
      <w:r>
        <w:t xml:space="preserve">5. Verification Plan &amp; Results</w:t>
      </w:r>
    </w:p>
    <w:p>
      <w:pPr>
        <w:spacing w:after="120"/>
      </w:pPr>
      <w:r>
        <w:t xml:space="preserve">Verification is by simulation (Icarus Verilog) with directed test cases, advancing to ModelSim for sign-off before any FPGA synthesis. Each test case names the requirement(s) it exercises and records a PASS/FAIL result. Coverage intent: every requirement is exercised by at least one test case, including the negative/idle cases.</w:t>
      </w:r>
    </w:p>
    <w:p>
      <w:pPr>
        <w:pStyle w:val="Heading2"/>
      </w:pPr>
      <w:r>
        <w:t xml:space="preserve">5.1 Module 1 —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5360"/>
        <w:gridCol w:w="1400"/>
      </w:tblGrid>
      <w:tr>
        <w:trPr>
          <w:tblHeader/>
        </w:trPr>
        <w:tc>
          <w:tcPr>
            <w:tcW w:type="dxa" w:w="11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TC ID</w:t>
            </w:r>
          </w:p>
        </w:tc>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Verifies</w:t>
            </w:r>
          </w:p>
        </w:tc>
        <w:tc>
          <w:tcPr>
            <w:tcW w:type="dxa" w:w="5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Stimulus → Expected</w:t>
            </w:r>
          </w:p>
        </w:tc>
        <w:tc>
          <w:tcPr>
            <w:tcW w:type="dxa" w:w="14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Result</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TC-001</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REQ-001,006</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Valid ADD-class op → toAluRS only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TC-002</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REQ-003</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Valid BL → toBranchRS only (not ALU)</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TC-003</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REQ-003</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Valid B.LT (LTBr) → toBranchRS only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TC-004</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REQ-004</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Valid LDUR (MRead) → toLoadBuf only</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TC-005</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REQ-005</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Valid STUR (MWrite) → toStoreBuf only</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TC-006</w:t>
            </w:r>
          </w:p>
        </w:tc>
        <w:tc>
          <w:tcPr>
            <w:tcW w:type="dxa" w:w="15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REQ-002</w:t>
            </w:r>
          </w:p>
        </w:tc>
        <w:tc>
          <w:tcPr>
            <w:tcW w:type="dxa" w:w="5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valid=0 with branch flags high → all outputs 0</w:t>
            </w:r>
          </w:p>
        </w:tc>
        <w:tc>
          <w:tcPr>
            <w:tcW w:type="dxa" w:w="1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PENDING</w:t>
            </w:r>
          </w:p>
        </w:tc>
      </w:tr>
      <w:tr>
        <w:tc>
          <w:tcPr>
            <w:tcW w:type="dxa" w:w="1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TC-007</w:t>
            </w:r>
          </w:p>
        </w:tc>
        <w:tc>
          <w:tcPr>
            <w:tcW w:type="dxa" w:w="1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REQ-001</w:t>
            </w:r>
          </w:p>
        </w:tc>
        <w:tc>
          <w:tcPr>
            <w:tcW w:type="dxa" w:w="5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One-hot check: no two outputs high simultaneously across all cases</w:t>
            </w:r>
          </w:p>
        </w:tc>
        <w:tc>
          <w:tcPr>
            <w:tcW w:type="dxa" w:w="1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PENDING</w:t>
            </w:r>
          </w:p>
        </w:tc>
      </w:tr>
    </w:tbl>
    <w:p>
      <w:pPr>
        <w:spacing w:after="120"/>
      </w:pPr>
      <w:r>
        <w:rPr>
          <w:i/>
          <w:iCs/>
          <w:color w:val="808080"/>
        </w:rPr>
        <w:t xml:space="preserve">[Update Result column to PASS/FAIL once the Module 1 testbench is run. Add TC blocks per module thereafter.]</w:t>
      </w:r>
    </w:p>
    <w:p>
      <w:pPr>
        <w:pStyle w:val="Heading1"/>
      </w:pPr>
      <w:r>
        <w:t xml:space="preserve">6. Requirements Traceability Matrix (RTM)</w:t>
      </w:r>
    </w:p>
    <w:p>
      <w:pPr>
        <w:spacing w:after="120"/>
      </w:pPr>
      <w:r>
        <w:t xml:space="preserve">The RTM is the central control artifact: it demonstrates bidirectional traceability — every requirement links forward to a design element and a verifying test case, and every design element and test traces back to a requirement. Gaps in this table are coverage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360"/>
        <w:gridCol w:w="1600"/>
      </w:tblGrid>
      <w:tr>
        <w:trPr>
          <w:tblHeader/>
        </w:trPr>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Requirement</w:t>
            </w:r>
          </w:p>
        </w:tc>
        <w:tc>
          <w:tcPr>
            <w:tcW w:type="dxa" w:w="22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Design Element</w:t>
            </w:r>
          </w:p>
        </w:tc>
        <w:tc>
          <w:tcPr>
            <w:tcW w:type="dxa" w:w="336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Test Case(s)</w:t>
            </w:r>
          </w:p>
        </w:tc>
        <w:tc>
          <w:tcPr>
            <w:tcW w:type="dxa" w:w="16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tcPr>
          <w:p>
            <w:r>
              <w:rPr>
                <w:b/>
                <w:bCs/>
                <w:color w:val="FFFFFF"/>
              </w:rPr>
              <w:t xml:space="preserve">Status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HW-REQ-001</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TC-001, TC-007</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HW-REQ-002</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TC-006</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HW-REQ-003</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TC-002, TC-003</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HW-REQ-004</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TC-004</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HW-REQ-005</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TC-005</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HW-REQ-006</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TC-001</w:t>
            </w:r>
          </w:p>
        </w:tc>
        <w:tc>
          <w:tcPr>
            <w:tcW w:type="dxa" w:w="1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sz w:val="20"/>
                <w:szCs w:val="20"/>
              </w:rPr>
              <w:t xml:space="preserve">Open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HW-REQ-007</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DES-001</w:t>
            </w:r>
          </w:p>
        </w:tc>
        <w:tc>
          <w:tcPr>
            <w:tcW w:type="dxa" w:w="3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(none — known limitation)</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Accepted</w:t>
            </w:r>
          </w:p>
        </w:tc>
      </w:tr>
    </w:tbl>
    <w:p>
      <w:pPr>
        <w:pStyle w:val="Heading1"/>
      </w:pPr>
      <w:r>
        <w:t xml:space="preserve">7. Configuration Management</w:t>
      </w:r>
    </w:p>
    <w:p>
      <w:pPr>
        <w:pStyle w:val="ListParagraph"/>
        <w:numPr>
          <w:ilvl w:val="0"/>
          <w:numId w:val="2"/>
        </w:numPr>
        <w:spacing w:after="60"/>
      </w:pPr>
      <w:r>
        <w:t xml:space="preserve">Source control: Git / GitHub. Each module committed with a descriptive message referencing its requirements.</w:t>
      </w:r>
    </w:p>
    <w:p>
      <w:pPr>
        <w:pStyle w:val="ListParagraph"/>
        <w:numPr>
          <w:ilvl w:val="0"/>
          <w:numId w:val="2"/>
        </w:numPr>
        <w:spacing w:after="60"/>
      </w:pPr>
      <w:r>
        <w:t xml:space="preserve">Baselines: a tagged revision will be taken at the completion of each module.</w:t>
      </w:r>
    </w:p>
    <w:p>
      <w:pPr>
        <w:pStyle w:val="ListParagraph"/>
        <w:numPr>
          <w:ilvl w:val="0"/>
          <w:numId w:val="2"/>
        </w:numPr>
        <w:spacing w:after="60"/>
      </w:pPr>
      <w:r>
        <w:t xml:space="preserve">This document is revision-controlled alongside the RTL; the revision on the cover page is updated on each material change.</w:t>
      </w:r>
    </w:p>
    <w:p>
      <w:pPr>
        <w:spacing w:after="120"/>
      </w:pPr>
      <w:r>
        <w:rPr>
          <w:i/>
          <w:iCs/>
          <w:color w:val="808080"/>
        </w:rPr>
        <w:t xml:space="preserve">[Fill in: repository URL and the commit hash corresponding to this revision once stable.]</w:t>
      </w:r>
    </w:p>
    <w:p>
      <w:pPr>
        <w:pStyle w:val="Heading1"/>
      </w:pPr>
      <w:r>
        <w:t xml:space="preserve">8. Open Items &amp; Forward Work</w:t>
      </w:r>
    </w:p>
    <w:p>
      <w:pPr>
        <w:pStyle w:val="ListParagraph"/>
        <w:numPr>
          <w:ilvl w:val="0"/>
          <w:numId w:val="2"/>
        </w:numPr>
        <w:spacing w:after="60"/>
      </w:pPr>
      <w:r>
        <w:t xml:space="preserve">Run the Module 1 testbench and update Sections 5 and 6 from PENDING/Open to PASS/Closed.</w:t>
      </w:r>
    </w:p>
    <w:p>
      <w:pPr>
        <w:pStyle w:val="ListParagraph"/>
        <w:numPr>
          <w:ilvl w:val="0"/>
          <w:numId w:val="2"/>
        </w:numPr>
        <w:spacing w:after="60"/>
      </w:pPr>
      <w:r>
        <w:t xml:space="preserve">Resolve the ALU carry-chain gate-delay risk against CDB broadcast timing at integration.</w:t>
      </w:r>
    </w:p>
    <w:p>
      <w:pPr>
        <w:pStyle w:val="ListParagraph"/>
        <w:numPr>
          <w:ilvl w:val="0"/>
          <w:numId w:val="2"/>
        </w:numPr>
        <w:spacing w:after="60"/>
      </w:pPr>
      <w:r>
        <w:t xml:space="preserve">Decide whether BR (HW-REQ-007) is brought into scope in a later module.</w:t>
      </w:r>
    </w:p>
    <w:p>
      <w:pPr>
        <w:pStyle w:val="ListParagraph"/>
        <w:numPr>
          <w:ilvl w:val="0"/>
          <w:numId w:val="2"/>
        </w:numPr>
        <w:spacing w:after="60"/>
      </w:pPr>
      <w:r>
        <w:t xml:space="preserve">Add a top-level architecture block diagram (Section 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026"/>
      </w:tabs>
    </w:pPr>
    <w:r>
      <w:rPr>
        <w:color w:val="808080"/>
        <w:sz w:val="16"/>
        <w:szCs w:val="16"/>
      </w:rPr>
      <w:t xml:space="preserve">Modeled on DO-254 — not a certified artifact</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color w:val="808080"/>
        <w:sz w:val="16"/>
        <w:szCs w:val="16"/>
      </w:rPr>
      <w:t xml:space="preserve">HDS&amp;VR — Out-of-Order LEGv8 Processor</w:t>
    </w:r>
    <w:r>
      <w:rPr>
        <w:color w:val="808080"/>
        <w:sz w:val="16"/>
        <w:szCs w:val="16"/>
      </w:rPr>
      <w:t xml:space="preserve">	Rev 0.1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2E75B6"/>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F4E79"/>
      <w:sz w:val="25"/>
      <w:szCs w:val="25"/>
    </w:rPr>
  </w:style>
  <w:style w:type="paragraph" w:styleId="Title">
    <w:name w:val="Title"/>
    <w:basedOn w:val="Normal"/>
    <w:next w:val="Normal"/>
    <w:pPr>
      <w:spacing w:after="120"/>
    </w:pPr>
    <w:rPr>
      <w:rFonts w:ascii="Arial" w:cs="Arial" w:eastAsia="Arial" w:hAnsi="Arial"/>
      <w:b/>
      <w:bCs/>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2026-06-22T11:26:54.444Z</dcterms:created>
  <dcterms:modified xsi:type="dcterms:W3CDTF">2026-06-22T11:26:54.444Z</dcterms:modified>
</cp:coreProperties>
</file>

<file path=docProps/custom.xml><?xml version="1.0" encoding="utf-8"?>
<Properties xmlns="http://schemas.openxmlformats.org/officeDocument/2006/custom-properties" xmlns:vt="http://schemas.openxmlformats.org/officeDocument/2006/docPropsVTypes"/>
</file>