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cfyfm9apqw" w:id="0"/>
      <w:bookmarkEnd w:id="0"/>
      <w:r w:rsidDel="00000000" w:rsidR="00000000" w:rsidRPr="00000000">
        <w:rPr>
          <w:rtl w:val="0"/>
        </w:rPr>
        <w:t xml:space="preserve">Maritime Logistics Network &amp; Supply Chain Performance Analytics</w:t>
      </w:r>
    </w:p>
    <w:p w:rsidR="00000000" w:rsidDel="00000000" w:rsidP="00000000" w:rsidRDefault="00000000" w:rsidRPr="00000000" w14:paraId="00000002">
      <w:pPr>
        <w:pStyle w:val="Subtitle"/>
        <w:rPr/>
      </w:pPr>
      <w:bookmarkStart w:colFirst="0" w:colLast="0" w:name="_39uzfbvcmyb7" w:id="1"/>
      <w:bookmarkEnd w:id="1"/>
      <w:r w:rsidDel="00000000" w:rsidR="00000000" w:rsidRPr="00000000">
        <w:rPr>
          <w:rtl w:val="0"/>
        </w:rPr>
        <w:t xml:space="preserve">Evaluating Trade Corridors, Port Performance and Shipping Reliability</w:t>
      </w:r>
    </w:p>
    <w:p w:rsidR="00000000" w:rsidDel="00000000" w:rsidP="00000000" w:rsidRDefault="00000000" w:rsidRPr="00000000" w14:paraId="00000003">
      <w:pPr>
        <w:pStyle w:val="Heading1"/>
        <w:rPr/>
      </w:pPr>
      <w:bookmarkStart w:colFirst="0" w:colLast="0" w:name="_fiyipbu34cnr" w:id="2"/>
      <w:bookmarkEnd w:id="2"/>
      <w:r w:rsidDel="00000000" w:rsidR="00000000" w:rsidRPr="00000000">
        <w:rPr>
          <w:rtl w:val="0"/>
        </w:rPr>
        <w:t xml:space="preserve">Project objective</w:t>
      </w:r>
    </w:p>
    <w:p w:rsidR="00000000" w:rsidDel="00000000" w:rsidP="00000000" w:rsidRDefault="00000000" w:rsidRPr="00000000" w14:paraId="00000004">
      <w:pPr>
        <w:rPr/>
      </w:pPr>
      <w:r w:rsidDel="00000000" w:rsidR="00000000" w:rsidRPr="00000000">
        <w:rPr>
          <w:rtl w:val="0"/>
        </w:rPr>
        <w:t xml:space="preserve">Evaluate trade corridors, candidate port gateways and maritime supply chain performance using public data for 2022–2025. Python, SQL and dbt  will support data preparation and analysis, while Tableau will communicate the findings through interactive dashboards.</w:t>
      </w:r>
    </w:p>
    <w:p w:rsidR="00000000" w:rsidDel="00000000" w:rsidP="00000000" w:rsidRDefault="00000000" w:rsidRPr="00000000" w14:paraId="00000005">
      <w:pPr>
        <w:pStyle w:val="Heading1"/>
        <w:rPr/>
      </w:pPr>
      <w:bookmarkStart w:colFirst="0" w:colLast="0" w:name="_5p5fwzhcpn1y" w:id="3"/>
      <w:bookmarkEnd w:id="3"/>
      <w:r w:rsidDel="00000000" w:rsidR="00000000" w:rsidRPr="00000000">
        <w:rPr>
          <w:rtl w:val="0"/>
        </w:rPr>
        <w:t xml:space="preserve">Study scope</w:t>
      </w:r>
    </w:p>
    <w:p w:rsidR="00000000" w:rsidDel="00000000" w:rsidP="00000000" w:rsidRDefault="00000000" w:rsidRPr="00000000" w14:paraId="00000006">
      <w:pPr>
        <w:rPr/>
      </w:pPr>
      <w:r w:rsidDel="00000000" w:rsidR="00000000" w:rsidRPr="00000000">
        <w:rPr>
          <w:rtl w:val="0"/>
        </w:rPr>
        <w:t xml:space="preserve">Germany is the primary study market, with the Netherlands as a comparison and potential gateway alternative. The study covers four bidirectional route groups: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Germany/Netherlands ↔ Pakistan.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Germany/Netherlands ↔ Gulf countries: UAE, Saudi Arabia, Qatar, Kuwait, Oman and Bahrain.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Germany/Netherlands ↔ India, Bangladesh, China, Singapore and Vietnam.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Pakistan ↔ the Gulf and Asian countries listed above.</w:t>
      </w:r>
    </w:p>
    <w:p w:rsidR="00000000" w:rsidDel="00000000" w:rsidP="00000000" w:rsidRDefault="00000000" w:rsidRPr="00000000" w14:paraId="0000000B">
      <w:pPr>
        <w:rPr/>
      </w:pPr>
      <w:r w:rsidDel="00000000" w:rsidR="00000000" w:rsidRPr="00000000">
        <w:rPr>
          <w:rtl w:val="0"/>
        </w:rPr>
        <w:t xml:space="preserve">Initial detailed preparation focuses on both directions between Germany and Pakistan. Broader screening will inform the selection of approximately three to five directional corridors for further analysis.</w:t>
      </w:r>
    </w:p>
    <w:p w:rsidR="00000000" w:rsidDel="00000000" w:rsidP="00000000" w:rsidRDefault="00000000" w:rsidRPr="00000000" w14:paraId="0000000C">
      <w:pPr>
        <w:rPr/>
      </w:pPr>
      <w:r w:rsidDel="00000000" w:rsidR="00000000" w:rsidRPr="00000000">
        <w:rPr>
          <w:rtl w:val="0"/>
        </w:rPr>
        <w:t xml:space="preserve">Network evaluation concerns candidate corridors, gateways and available connectivity evidence. Comparisons will respect data coverage and methodological differences; global indicators will be treated as context rather than corridor-specific performance.</w:t>
      </w:r>
    </w:p>
    <w:p w:rsidR="00000000" w:rsidDel="00000000" w:rsidP="00000000" w:rsidRDefault="00000000" w:rsidRPr="00000000" w14:paraId="0000000D">
      <w:pPr>
        <w:pStyle w:val="Heading1"/>
        <w:rPr/>
      </w:pPr>
      <w:bookmarkStart w:colFirst="0" w:colLast="0" w:name="_vm055etfm2e6" w:id="4"/>
      <w:bookmarkEnd w:id="4"/>
      <w:r w:rsidDel="00000000" w:rsidR="00000000" w:rsidRPr="00000000">
        <w:rPr>
          <w:rtl w:val="0"/>
        </w:rPr>
        <w:t xml:space="preserve">Management questions</w:t>
      </w:r>
    </w:p>
    <w:p w:rsidR="00000000" w:rsidDel="00000000" w:rsidP="00000000" w:rsidRDefault="00000000" w:rsidRPr="00000000" w14:paraId="0000000E">
      <w:pPr>
        <w:spacing w:after="280" w:lineRule="auto"/>
        <w:rPr/>
      </w:pPr>
      <w:r w:rsidDel="00000000" w:rsidR="00000000" w:rsidRPr="00000000">
        <w:rPr>
          <w:b w:val="1"/>
          <w:bCs w:val="1"/>
          <w:rtl w:val="0"/>
        </w:rPr>
        <w:t xml:space="preserve">1. </w:t>
      </w:r>
      <w:r w:rsidDel="00000000" w:rsidR="00000000" w:rsidRPr="00000000">
        <w:rPr>
          <w:rtl w:val="0"/>
        </w:rPr>
        <w:t xml:space="preserve">How did the scale, growth and directional balance of trade change across the candidate corridors during 2022–2025?</w:t>
      </w:r>
    </w:p>
    <w:p w:rsidR="00000000" w:rsidDel="00000000" w:rsidP="00000000" w:rsidRDefault="00000000" w:rsidRPr="00000000" w14:paraId="0000000F">
      <w:pPr>
        <w:spacing w:after="280" w:lineRule="auto"/>
        <w:rPr/>
      </w:pPr>
      <w:r w:rsidDel="00000000" w:rsidR="00000000" w:rsidRPr="00000000">
        <w:rPr>
          <w:b w:val="1"/>
          <w:bCs w:val="1"/>
          <w:rtl w:val="0"/>
        </w:rPr>
        <w:t xml:space="preserve">2. </w:t>
      </w:r>
      <w:r w:rsidDel="00000000" w:rsidR="00000000" w:rsidRPr="00000000">
        <w:rPr>
          <w:rtl w:val="0"/>
        </w:rPr>
        <w:t xml:space="preserve">Which commodity groups account for the observed trade value and reported cargo weight in each direction?</w:t>
      </w:r>
    </w:p>
    <w:p w:rsidR="00000000" w:rsidDel="00000000" w:rsidP="00000000" w:rsidRDefault="00000000" w:rsidRPr="00000000" w14:paraId="00000010">
      <w:pPr>
        <w:spacing w:after="280" w:lineRule="auto"/>
        <w:rPr/>
      </w:pPr>
      <w:r w:rsidDel="00000000" w:rsidR="00000000" w:rsidRPr="00000000">
        <w:rPr>
          <w:b w:val="1"/>
          <w:bCs w:val="1"/>
          <w:rtl w:val="0"/>
        </w:rPr>
        <w:t xml:space="preserve">3. </w:t>
      </w:r>
      <w:r w:rsidDel="00000000" w:rsidR="00000000" w:rsidRPr="00000000">
        <w:rPr>
          <w:rtl w:val="0"/>
        </w:rPr>
        <w:t xml:space="preserve">How concentrated is each corridor’s reported commodity mix, and how does this concentration vary across years?</w:t>
      </w:r>
    </w:p>
    <w:p w:rsidR="00000000" w:rsidDel="00000000" w:rsidP="00000000" w:rsidRDefault="00000000" w:rsidRPr="00000000" w14:paraId="00000011">
      <w:pPr>
        <w:spacing w:after="280" w:lineRule="auto"/>
        <w:rPr/>
      </w:pPr>
      <w:r w:rsidDel="00000000" w:rsidR="00000000" w:rsidRPr="00000000">
        <w:rPr>
          <w:b w:val="1"/>
          <w:bCs w:val="1"/>
          <w:rtl w:val="0"/>
        </w:rPr>
        <w:t xml:space="preserve">4. </w:t>
      </w:r>
      <w:r w:rsidDel="00000000" w:rsidR="00000000" w:rsidRPr="00000000">
        <w:rPr>
          <w:rtl w:val="0"/>
        </w:rPr>
        <w:t xml:space="preserve">What monthly variability and recurring seasonal patterns are visible in corridors with sufficiently complete trade data?</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1x49g6bvmlqj" w:id="5"/>
      <w:bookmarkEnd w:id="5"/>
      <w:r w:rsidDel="00000000" w:rsidR="00000000" w:rsidRPr="00000000">
        <w:rPr>
          <w:rtl w:val="0"/>
        </w:rPr>
        <w:t xml:space="preserve">Management questions — continued</w:t>
      </w:r>
    </w:p>
    <w:p w:rsidR="00000000" w:rsidDel="00000000" w:rsidP="00000000" w:rsidRDefault="00000000" w:rsidRPr="00000000" w14:paraId="00000014">
      <w:pPr>
        <w:spacing w:after="280" w:lineRule="auto"/>
        <w:rPr/>
      </w:pPr>
      <w:r w:rsidDel="00000000" w:rsidR="00000000" w:rsidRPr="00000000">
        <w:rPr>
          <w:b w:val="1"/>
          <w:bCs w:val="1"/>
          <w:rtl w:val="0"/>
        </w:rPr>
        <w:t xml:space="preserve">5. </w:t>
      </w:r>
      <w:r w:rsidDel="00000000" w:rsidR="00000000" w:rsidRPr="00000000">
        <w:rPr>
          <w:rtl w:val="0"/>
        </w:rPr>
        <w:t xml:space="preserve">How do candidate port gateways compare in container activity when reporting periods and measurement units are comparable?</w:t>
      </w:r>
    </w:p>
    <w:p w:rsidR="00000000" w:rsidDel="00000000" w:rsidP="00000000" w:rsidRDefault="00000000" w:rsidRPr="00000000" w14:paraId="00000015">
      <w:pPr>
        <w:spacing w:after="280" w:lineRule="auto"/>
        <w:rPr/>
      </w:pPr>
      <w:r w:rsidDel="00000000" w:rsidR="00000000" w:rsidRPr="00000000">
        <w:rPr>
          <w:b w:val="1"/>
          <w:bCs w:val="1"/>
          <w:rtl w:val="0"/>
        </w:rPr>
        <w:t xml:space="preserve">6. </w:t>
      </w:r>
      <w:r w:rsidDel="00000000" w:rsidR="00000000" w:rsidRPr="00000000">
        <w:rPr>
          <w:rtl w:val="0"/>
        </w:rPr>
        <w:t xml:space="preserve">What do published container-port performance scores reveal about candidate gateways, within the limits of the index methodology?</w:t>
      </w:r>
    </w:p>
    <w:p w:rsidR="00000000" w:rsidDel="00000000" w:rsidP="00000000" w:rsidRDefault="00000000" w:rsidRPr="00000000" w14:paraId="00000016">
      <w:pPr>
        <w:spacing w:after="280" w:lineRule="auto"/>
        <w:rPr/>
      </w:pPr>
      <w:r w:rsidDel="00000000" w:rsidR="00000000" w:rsidRPr="00000000">
        <w:rPr>
          <w:b w:val="1"/>
          <w:bCs w:val="1"/>
          <w:rtl w:val="0"/>
        </w:rPr>
        <w:t xml:space="preserve">7. </w:t>
      </w:r>
      <w:r w:rsidDel="00000000" w:rsidR="00000000" w:rsidRPr="00000000">
        <w:rPr>
          <w:rtl w:val="0"/>
        </w:rPr>
        <w:t xml:space="preserve">What available evidence supports comparisons of maritime connectivity and alternative gateways, and where is further evidence required?</w:t>
      </w:r>
    </w:p>
    <w:p w:rsidR="00000000" w:rsidDel="00000000" w:rsidP="00000000" w:rsidRDefault="00000000" w:rsidRPr="00000000" w14:paraId="00000017">
      <w:pPr>
        <w:spacing w:after="280" w:lineRule="auto"/>
        <w:rPr/>
      </w:pPr>
      <w:r w:rsidDel="00000000" w:rsidR="00000000" w:rsidRPr="00000000">
        <w:rPr>
          <w:b w:val="1"/>
          <w:bCs w:val="1"/>
          <w:rtl w:val="0"/>
        </w:rPr>
        <w:t xml:space="preserve">8. </w:t>
      </w:r>
      <w:r w:rsidDel="00000000" w:rsidR="00000000" w:rsidRPr="00000000">
        <w:rPr>
          <w:rtl w:val="0"/>
        </w:rPr>
        <w:t xml:space="preserve">How did global shipping reliability and supply chain pressure evolve during the study period, and what context do they provide for service-risk monitoring?</w:t>
      </w:r>
    </w:p>
    <w:p w:rsidR="00000000" w:rsidDel="00000000" w:rsidP="00000000" w:rsidRDefault="00000000" w:rsidRPr="00000000" w14:paraId="00000018">
      <w:pPr>
        <w:spacing w:after="280" w:lineRule="auto"/>
        <w:rPr/>
      </w:pPr>
      <w:r w:rsidDel="00000000" w:rsidR="00000000" w:rsidRPr="00000000">
        <w:rPr>
          <w:b w:val="1"/>
          <w:bCs w:val="1"/>
          <w:rtl w:val="0"/>
        </w:rPr>
        <w:t xml:space="preserve">9. </w:t>
      </w:r>
      <w:r w:rsidDel="00000000" w:rsidR="00000000" w:rsidRPr="00000000">
        <w:rPr>
          <w:rtl w:val="0"/>
        </w:rPr>
        <w:t xml:space="preserve">Which changes in daily port activity warrant further investigation as potential disruption signals?</w:t>
      </w:r>
    </w:p>
    <w:p w:rsidR="00000000" w:rsidDel="00000000" w:rsidP="00000000" w:rsidRDefault="00000000" w:rsidRPr="00000000" w14:paraId="00000019">
      <w:pPr>
        <w:spacing w:after="280" w:lineRule="auto"/>
        <w:rPr/>
      </w:pPr>
      <w:r w:rsidDel="00000000" w:rsidR="00000000" w:rsidRPr="00000000">
        <w:rPr>
          <w:b w:val="1"/>
          <w:bCs w:val="1"/>
          <w:rtl w:val="0"/>
        </w:rPr>
        <w:t xml:space="preserve">10. </w:t>
      </w:r>
      <w:r w:rsidDel="00000000" w:rsidR="00000000" w:rsidRPr="00000000">
        <w:rPr>
          <w:rtl w:val="0"/>
        </w:rPr>
        <w:t xml:space="preserve">Which operational performance indicators and additional data are needed to assess service reliability and logistics coordination on the selected corridors?</w:t>
      </w:r>
    </w:p>
    <w:sectPr>
      <w:pgSz w:h="16834" w:w="11909"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7365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