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7E" w:rsidRDefault="00B3417E" w:rsidP="009177FF">
      <w:pPr>
        <w:jc w:val="right"/>
        <w:rPr>
          <w:rtl/>
        </w:rPr>
      </w:pPr>
    </w:p>
    <w:p w:rsidR="00387ED5" w:rsidRPr="003F279C" w:rsidRDefault="005760F4" w:rsidP="00387ED5">
      <w:pPr>
        <w:spacing w:line="240" w:lineRule="auto"/>
        <w:jc w:val="center"/>
        <w:rPr>
          <w:rFonts w:ascii="Dubai Medium" w:hAnsi="Dubai Medium" w:cs="Dubai Medium"/>
          <w:b/>
          <w:bCs/>
          <w:color w:val="C00000"/>
          <w:sz w:val="52"/>
          <w:szCs w:val="52"/>
          <w:rtl/>
        </w:rPr>
      </w:pPr>
      <w:r w:rsidRPr="003F279C">
        <w:rPr>
          <w:rFonts w:ascii="Dubai Medium" w:hAnsi="Dubai Medium" w:cs="Dubai Medium"/>
          <w:b/>
          <w:bCs/>
          <w:color w:val="C00000"/>
          <w:sz w:val="52"/>
          <w:szCs w:val="52"/>
          <w:rtl/>
        </w:rPr>
        <w:t>تأويليّة</w:t>
      </w:r>
      <w:r w:rsidR="00387ED5" w:rsidRPr="003F279C">
        <w:rPr>
          <w:rFonts w:ascii="Dubai Medium" w:hAnsi="Dubai Medium" w:cs="Dubai Medium"/>
          <w:b/>
          <w:bCs/>
          <w:color w:val="C00000"/>
          <w:sz w:val="52"/>
          <w:szCs w:val="52"/>
          <w:rtl/>
        </w:rPr>
        <w:t xml:space="preserve"> النّص</w:t>
      </w:r>
      <w:r w:rsidR="008759C1" w:rsidRPr="003F279C">
        <w:rPr>
          <w:rFonts w:ascii="Dubai Medium" w:hAnsi="Dubai Medium" w:cs="Dubai Medium"/>
          <w:b/>
          <w:bCs/>
          <w:color w:val="C00000"/>
          <w:sz w:val="52"/>
          <w:szCs w:val="52"/>
          <w:rtl/>
        </w:rPr>
        <w:t>..</w:t>
      </w:r>
    </w:p>
    <w:p w:rsidR="009177FF" w:rsidRPr="003F279C" w:rsidRDefault="008759C1" w:rsidP="0039214C">
      <w:pPr>
        <w:spacing w:line="240" w:lineRule="auto"/>
        <w:jc w:val="center"/>
        <w:rPr>
          <w:rFonts w:ascii="Dubai Medium" w:hAnsi="Dubai Medium" w:cs="Dubai Medium"/>
          <w:b/>
          <w:bCs/>
          <w:color w:val="C00000"/>
          <w:sz w:val="36"/>
          <w:szCs w:val="36"/>
          <w:rtl/>
        </w:rPr>
      </w:pPr>
      <w:r w:rsidRPr="003F279C">
        <w:rPr>
          <w:rFonts w:ascii="Dubai Medium" w:hAnsi="Dubai Medium" w:cs="Dubai Medium"/>
          <w:b/>
          <w:bCs/>
          <w:color w:val="C00000"/>
          <w:sz w:val="36"/>
          <w:szCs w:val="36"/>
          <w:rtl/>
        </w:rPr>
        <w:t xml:space="preserve">سُؤال </w:t>
      </w:r>
      <w:r w:rsidR="00487331" w:rsidRPr="003F279C">
        <w:rPr>
          <w:rFonts w:ascii="Dubai Medium" w:hAnsi="Dubai Medium" w:cs="Dubai Medium"/>
          <w:b/>
          <w:bCs/>
          <w:color w:val="C00000"/>
          <w:sz w:val="36"/>
          <w:szCs w:val="36"/>
          <w:rtl/>
        </w:rPr>
        <w:t xml:space="preserve">المنهج </w:t>
      </w:r>
      <w:r w:rsidR="0039214C" w:rsidRPr="003F279C">
        <w:rPr>
          <w:rFonts w:ascii="Dubai Medium" w:hAnsi="Dubai Medium" w:cs="Dubai Medium"/>
          <w:b/>
          <w:bCs/>
          <w:color w:val="C00000"/>
          <w:sz w:val="36"/>
          <w:szCs w:val="36"/>
          <w:rtl/>
        </w:rPr>
        <w:t>وفاعليّة</w:t>
      </w:r>
      <w:r w:rsidR="00487331" w:rsidRPr="003F279C">
        <w:rPr>
          <w:rFonts w:ascii="Dubai Medium" w:hAnsi="Dubai Medium" w:cs="Dubai Medium"/>
          <w:b/>
          <w:bCs/>
          <w:color w:val="C00000"/>
          <w:sz w:val="36"/>
          <w:szCs w:val="36"/>
          <w:rtl/>
        </w:rPr>
        <w:t xml:space="preserve"> التّلقِّي</w:t>
      </w:r>
      <w:r w:rsidR="00387ED5" w:rsidRPr="003F279C">
        <w:rPr>
          <w:rFonts w:ascii="Dubai Medium" w:hAnsi="Dubai Medium" w:cs="Dubai Medium"/>
          <w:b/>
          <w:bCs/>
          <w:color w:val="C00000"/>
          <w:sz w:val="36"/>
          <w:szCs w:val="36"/>
          <w:rtl/>
        </w:rPr>
        <w:t xml:space="preserve"> </w:t>
      </w:r>
    </w:p>
    <w:p w:rsidR="009177FF" w:rsidRPr="00AC011C" w:rsidRDefault="005760F4" w:rsidP="005760F4">
      <w:pPr>
        <w:spacing w:line="240" w:lineRule="auto"/>
        <w:jc w:val="center"/>
        <w:rPr>
          <w:rFonts w:asciiTheme="majorBidi" w:hAnsiTheme="majorBidi" w:cstheme="majorBidi"/>
          <w:b/>
          <w:bCs/>
          <w:sz w:val="32"/>
          <w:szCs w:val="32"/>
          <w:rtl/>
          <w:lang w:bidi="ar-MA"/>
        </w:rPr>
      </w:pPr>
      <w:r w:rsidRPr="00AC011C">
        <w:rPr>
          <w:rFonts w:asciiTheme="majorBidi" w:hAnsiTheme="majorBidi" w:cstheme="majorBidi"/>
          <w:b/>
          <w:bCs/>
          <w:sz w:val="32"/>
          <w:szCs w:val="32"/>
          <w:rtl/>
        </w:rPr>
        <w:t>رشيد الخديري/ باحث من المغرب</w:t>
      </w:r>
    </w:p>
    <w:p w:rsidR="004F7B84" w:rsidRPr="00AC011C" w:rsidRDefault="004F7B84" w:rsidP="005760F4">
      <w:pPr>
        <w:spacing w:line="240" w:lineRule="auto"/>
        <w:jc w:val="center"/>
        <w:rPr>
          <w:rFonts w:asciiTheme="majorBidi" w:hAnsiTheme="majorBidi" w:cstheme="majorBidi"/>
          <w:b/>
          <w:bCs/>
          <w:sz w:val="32"/>
          <w:szCs w:val="32"/>
          <w:rtl/>
          <w:lang w:bidi="ar-MA"/>
        </w:rPr>
      </w:pPr>
      <w:proofErr w:type="gramStart"/>
      <w:r w:rsidRPr="00AC011C">
        <w:rPr>
          <w:rFonts w:asciiTheme="majorBidi" w:hAnsiTheme="majorBidi" w:cstheme="majorBidi" w:hint="cs"/>
          <w:b/>
          <w:bCs/>
          <w:sz w:val="32"/>
          <w:szCs w:val="32"/>
          <w:rtl/>
          <w:lang w:bidi="ar-MA"/>
        </w:rPr>
        <w:t>المسمى</w:t>
      </w:r>
      <w:proofErr w:type="gramEnd"/>
      <w:r w:rsidRPr="00AC011C">
        <w:rPr>
          <w:rFonts w:asciiTheme="majorBidi" w:hAnsiTheme="majorBidi" w:cstheme="majorBidi" w:hint="cs"/>
          <w:b/>
          <w:bCs/>
          <w:sz w:val="32"/>
          <w:szCs w:val="32"/>
          <w:rtl/>
          <w:lang w:bidi="ar-MA"/>
        </w:rPr>
        <w:t xml:space="preserve"> الوظيفي: أستاذ في مادة اللغة العربية</w:t>
      </w:r>
    </w:p>
    <w:p w:rsidR="004F7B84" w:rsidRPr="00AC011C" w:rsidRDefault="004F7B84" w:rsidP="005760F4">
      <w:pPr>
        <w:spacing w:line="240" w:lineRule="auto"/>
        <w:jc w:val="center"/>
        <w:rPr>
          <w:rFonts w:asciiTheme="majorBidi" w:hAnsiTheme="majorBidi" w:cstheme="majorBidi"/>
          <w:b/>
          <w:bCs/>
          <w:sz w:val="32"/>
          <w:szCs w:val="32"/>
          <w:rtl/>
          <w:lang w:bidi="ar-MA"/>
        </w:rPr>
      </w:pPr>
      <w:proofErr w:type="gramStart"/>
      <w:r w:rsidRPr="00AC011C">
        <w:rPr>
          <w:rFonts w:asciiTheme="majorBidi" w:hAnsiTheme="majorBidi" w:cstheme="majorBidi" w:hint="cs"/>
          <w:b/>
          <w:bCs/>
          <w:sz w:val="32"/>
          <w:szCs w:val="32"/>
          <w:rtl/>
          <w:lang w:bidi="ar-MA"/>
        </w:rPr>
        <w:t>جهة</w:t>
      </w:r>
      <w:proofErr w:type="gramEnd"/>
      <w:r w:rsidRPr="00AC011C">
        <w:rPr>
          <w:rFonts w:asciiTheme="majorBidi" w:hAnsiTheme="majorBidi" w:cstheme="majorBidi" w:hint="cs"/>
          <w:b/>
          <w:bCs/>
          <w:sz w:val="32"/>
          <w:szCs w:val="32"/>
          <w:rtl/>
          <w:lang w:bidi="ar-MA"/>
        </w:rPr>
        <w:t xml:space="preserve"> العمل: وزارة التربية الوطنية في المغرب</w:t>
      </w:r>
    </w:p>
    <w:p w:rsidR="004F7B84" w:rsidRDefault="004F7B84" w:rsidP="005760F4">
      <w:pPr>
        <w:spacing w:line="240" w:lineRule="auto"/>
        <w:jc w:val="center"/>
        <w:rPr>
          <w:rFonts w:asciiTheme="majorBidi" w:hAnsiTheme="majorBidi" w:cstheme="majorBidi"/>
          <w:b/>
          <w:bCs/>
          <w:sz w:val="28"/>
          <w:szCs w:val="28"/>
          <w:rtl/>
          <w:lang w:bidi="ar-MA"/>
        </w:rPr>
      </w:pPr>
    </w:p>
    <w:p w:rsidR="004F7B84" w:rsidRDefault="00AC011C" w:rsidP="00AC011C">
      <w:pPr>
        <w:bidi/>
        <w:spacing w:line="360" w:lineRule="auto"/>
        <w:jc w:val="both"/>
        <w:rPr>
          <w:rFonts w:asciiTheme="majorBidi" w:hAnsiTheme="majorBidi" w:cstheme="majorBidi"/>
          <w:b/>
          <w:bCs/>
          <w:sz w:val="28"/>
          <w:szCs w:val="28"/>
          <w:rtl/>
          <w:lang w:bidi="ar-MA"/>
        </w:rPr>
      </w:pPr>
      <w:r>
        <w:rPr>
          <w:rFonts w:asciiTheme="majorBidi" w:hAnsiTheme="majorBidi" w:cstheme="majorBidi" w:hint="cs"/>
          <w:b/>
          <w:bCs/>
          <w:sz w:val="28"/>
          <w:szCs w:val="28"/>
          <w:rtl/>
          <w:lang w:bidi="ar-MA"/>
        </w:rPr>
        <w:t xml:space="preserve">   </w:t>
      </w:r>
      <w:r w:rsidRPr="00AC011C">
        <w:rPr>
          <w:rFonts w:asciiTheme="majorBidi" w:hAnsiTheme="majorBidi" w:cstheme="majorBidi" w:hint="cs"/>
          <w:b/>
          <w:bCs/>
          <w:color w:val="FF0000"/>
          <w:sz w:val="28"/>
          <w:szCs w:val="28"/>
          <w:rtl/>
          <w:lang w:bidi="ar-MA"/>
        </w:rPr>
        <w:t xml:space="preserve"> </w:t>
      </w:r>
      <w:r w:rsidR="004F7B84" w:rsidRPr="00AC011C">
        <w:rPr>
          <w:rFonts w:asciiTheme="majorBidi" w:hAnsiTheme="majorBidi" w:cstheme="majorBidi" w:hint="cs"/>
          <w:b/>
          <w:bCs/>
          <w:color w:val="FF0000"/>
          <w:sz w:val="32"/>
          <w:szCs w:val="32"/>
          <w:rtl/>
          <w:lang w:bidi="ar-MA"/>
        </w:rPr>
        <w:t>ملخص</w:t>
      </w:r>
      <w:r w:rsidR="004F7B84" w:rsidRPr="00AC011C">
        <w:rPr>
          <w:rFonts w:asciiTheme="majorBidi" w:hAnsiTheme="majorBidi" w:cstheme="majorBidi" w:hint="cs"/>
          <w:b/>
          <w:bCs/>
          <w:sz w:val="32"/>
          <w:szCs w:val="32"/>
          <w:rtl/>
          <w:lang w:bidi="ar-MA"/>
        </w:rPr>
        <w:t>:</w:t>
      </w:r>
      <w:r w:rsidRPr="00AC011C">
        <w:rPr>
          <w:rFonts w:asciiTheme="majorBidi" w:hAnsiTheme="majorBidi" w:cstheme="majorBidi" w:hint="cs"/>
          <w:b/>
          <w:bCs/>
          <w:sz w:val="32"/>
          <w:szCs w:val="32"/>
          <w:rtl/>
          <w:lang w:bidi="ar-MA"/>
        </w:rPr>
        <w:t xml:space="preserve"> تسعى هذه الدراسة إلى بلورة تصورات ورؤى حول المنهج في مقاربة الأعمال الأدبية، انطلاقا من تعدديتها واختلافاتها، خصوصا في ضوء النظريات النقدية الجديدة، كما أن هذه الدراسة تروم لفت الانتباه إلى النظريات النقدية الغربية وكيفيات تلقيها في العالم العربي، لا سيما في ظل الصعوبات التي تواجهها هذه النظريات في التكيف والاستنبات في تربة عربية لها خصوصيات تميزها عن غيرها</w:t>
      </w:r>
      <w:r>
        <w:rPr>
          <w:rFonts w:asciiTheme="majorBidi" w:hAnsiTheme="majorBidi" w:cstheme="majorBidi" w:hint="cs"/>
          <w:b/>
          <w:bCs/>
          <w:sz w:val="28"/>
          <w:szCs w:val="28"/>
          <w:rtl/>
          <w:lang w:bidi="ar-MA"/>
        </w:rPr>
        <w:t>.</w:t>
      </w:r>
    </w:p>
    <w:p w:rsidR="00AC011C" w:rsidRPr="005760F4" w:rsidRDefault="00AC011C" w:rsidP="00AC011C">
      <w:pPr>
        <w:bidi/>
        <w:spacing w:line="360" w:lineRule="auto"/>
        <w:jc w:val="both"/>
        <w:rPr>
          <w:rFonts w:asciiTheme="majorBidi" w:hAnsiTheme="majorBidi" w:cstheme="majorBidi"/>
          <w:b/>
          <w:bCs/>
          <w:sz w:val="28"/>
          <w:szCs w:val="28"/>
          <w:rtl/>
          <w:lang w:bidi="ar-MA"/>
        </w:rPr>
      </w:pPr>
      <w:r>
        <w:rPr>
          <w:rFonts w:asciiTheme="majorBidi" w:hAnsiTheme="majorBidi" w:cstheme="majorBidi" w:hint="cs"/>
          <w:b/>
          <w:bCs/>
          <w:color w:val="FF0000"/>
          <w:sz w:val="28"/>
          <w:szCs w:val="28"/>
          <w:rtl/>
          <w:lang w:bidi="ar-MA"/>
        </w:rPr>
        <w:t xml:space="preserve">   </w:t>
      </w:r>
      <w:r w:rsidRPr="00AC011C">
        <w:rPr>
          <w:rFonts w:asciiTheme="majorBidi" w:hAnsiTheme="majorBidi" w:cstheme="majorBidi" w:hint="cs"/>
          <w:b/>
          <w:bCs/>
          <w:color w:val="FF0000"/>
          <w:sz w:val="28"/>
          <w:szCs w:val="28"/>
          <w:rtl/>
          <w:lang w:bidi="ar-MA"/>
        </w:rPr>
        <w:t>الكلمات المفتاحية</w:t>
      </w:r>
      <w:r>
        <w:rPr>
          <w:rFonts w:asciiTheme="majorBidi" w:hAnsiTheme="majorBidi" w:cstheme="majorBidi" w:hint="cs"/>
          <w:b/>
          <w:bCs/>
          <w:sz w:val="28"/>
          <w:szCs w:val="28"/>
          <w:rtl/>
          <w:lang w:bidi="ar-MA"/>
        </w:rPr>
        <w:t xml:space="preserve">: </w:t>
      </w:r>
      <w:r w:rsidRPr="00AC011C">
        <w:rPr>
          <w:rFonts w:asciiTheme="majorBidi" w:hAnsiTheme="majorBidi" w:cstheme="majorBidi" w:hint="cs"/>
          <w:b/>
          <w:bCs/>
          <w:sz w:val="32"/>
          <w:szCs w:val="32"/>
          <w:rtl/>
          <w:lang w:bidi="ar-MA"/>
        </w:rPr>
        <w:t>منهج- القراءة- التأويل- الفاعلية- الوعي- النظرية</w:t>
      </w:r>
    </w:p>
    <w:p w:rsidR="005760F4" w:rsidRDefault="005760F4" w:rsidP="009177FF">
      <w:pPr>
        <w:spacing w:line="240" w:lineRule="auto"/>
        <w:jc w:val="right"/>
        <w:rPr>
          <w:rFonts w:ascii="Arabic Typesetting" w:hAnsi="Arabic Typesetting" w:cs="Arabic Typesetting"/>
          <w:b/>
          <w:bCs/>
          <w:sz w:val="48"/>
          <w:szCs w:val="48"/>
          <w:rtl/>
        </w:rPr>
      </w:pPr>
    </w:p>
    <w:p w:rsidR="00000903" w:rsidRPr="003F279C" w:rsidRDefault="009177FF" w:rsidP="00EA7C18">
      <w:pPr>
        <w:bidi/>
        <w:spacing w:line="240" w:lineRule="auto"/>
        <w:jc w:val="both"/>
        <w:rPr>
          <w:rFonts w:ascii="Dubai Light" w:hAnsi="Dubai Light" w:cs="Dubai Light"/>
          <w:b/>
          <w:bCs/>
          <w:sz w:val="36"/>
          <w:szCs w:val="36"/>
          <w:rtl/>
        </w:rPr>
      </w:pPr>
      <w:r>
        <w:rPr>
          <w:rFonts w:ascii="Arabic Typesetting" w:hAnsi="Arabic Typesetting" w:cs="Arabic Typesetting" w:hint="cs"/>
          <w:b/>
          <w:bCs/>
          <w:sz w:val="48"/>
          <w:szCs w:val="48"/>
          <w:rtl/>
        </w:rPr>
        <w:t xml:space="preserve">    </w:t>
      </w:r>
      <w:r w:rsidRPr="003F279C">
        <w:rPr>
          <w:rFonts w:ascii="Dubai Light" w:hAnsi="Dubai Light" w:cs="Dubai Light"/>
          <w:b/>
          <w:bCs/>
          <w:sz w:val="36"/>
          <w:szCs w:val="36"/>
          <w:rtl/>
        </w:rPr>
        <w:t xml:space="preserve">شَكَّلُ المنهجُ منذ المُقاربات النّقديّة القديمة، </w:t>
      </w:r>
      <w:r w:rsidR="0006639A" w:rsidRPr="003F279C">
        <w:rPr>
          <w:rFonts w:ascii="Dubai Light" w:hAnsi="Dubai Light" w:cs="Dubai Light"/>
          <w:b/>
          <w:bCs/>
          <w:sz w:val="36"/>
          <w:szCs w:val="36"/>
          <w:rtl/>
        </w:rPr>
        <w:t>دعامةً</w:t>
      </w:r>
      <w:r w:rsidRPr="003F279C">
        <w:rPr>
          <w:rFonts w:ascii="Dubai Light" w:hAnsi="Dubai Light" w:cs="Dubai Light"/>
          <w:b/>
          <w:bCs/>
          <w:sz w:val="36"/>
          <w:szCs w:val="36"/>
          <w:rtl/>
        </w:rPr>
        <w:t xml:space="preserve"> محوريّةً في مُعالجة النصوص الأدبيّة، وسواء أتعلّق الأمر بالشعر أو النثر، فإن سؤال المنهج أو المناهج ظلّ حاضراً بكلِّ ثقله، </w:t>
      </w:r>
      <w:r w:rsidR="003D7B40" w:rsidRPr="003F279C">
        <w:rPr>
          <w:rFonts w:ascii="Dubai Light" w:hAnsi="Dubai Light" w:cs="Dubai Light"/>
          <w:b/>
          <w:bCs/>
          <w:sz w:val="36"/>
          <w:szCs w:val="36"/>
          <w:rtl/>
        </w:rPr>
        <w:t>الذي</w:t>
      </w:r>
      <w:r w:rsidRPr="003F279C">
        <w:rPr>
          <w:rFonts w:ascii="Dubai Light" w:hAnsi="Dubai Light" w:cs="Dubai Light"/>
          <w:b/>
          <w:bCs/>
          <w:sz w:val="36"/>
          <w:szCs w:val="36"/>
          <w:rtl/>
        </w:rPr>
        <w:t xml:space="preserve"> يَتَعَيَّنُ</w:t>
      </w:r>
      <w:r w:rsidR="003D7B40" w:rsidRPr="003F279C">
        <w:rPr>
          <w:rFonts w:ascii="Dubai Light" w:hAnsi="Dubai Light" w:cs="Dubai Light"/>
          <w:b/>
          <w:bCs/>
          <w:sz w:val="36"/>
          <w:szCs w:val="36"/>
          <w:rtl/>
        </w:rPr>
        <w:t xml:space="preserve"> بوصفه</w:t>
      </w:r>
      <w:r w:rsidRPr="003F279C">
        <w:rPr>
          <w:rFonts w:ascii="Dubai Light" w:hAnsi="Dubai Light" w:cs="Dubai Light"/>
          <w:b/>
          <w:bCs/>
          <w:sz w:val="36"/>
          <w:szCs w:val="36"/>
          <w:rtl/>
        </w:rPr>
        <w:t xml:space="preserve"> وعياً</w:t>
      </w:r>
      <w:r w:rsidR="003D7B40" w:rsidRPr="003F279C">
        <w:rPr>
          <w:rFonts w:ascii="Dubai Light" w:hAnsi="Dubai Light" w:cs="Dubai Light"/>
          <w:b/>
          <w:bCs/>
          <w:sz w:val="36"/>
          <w:szCs w:val="36"/>
          <w:rtl/>
        </w:rPr>
        <w:t xml:space="preserve"> مُضاعفاً</w:t>
      </w:r>
      <w:r w:rsidRPr="003F279C">
        <w:rPr>
          <w:rFonts w:ascii="Dubai Light" w:hAnsi="Dubai Light" w:cs="Dubai Light"/>
          <w:b/>
          <w:bCs/>
          <w:sz w:val="36"/>
          <w:szCs w:val="36"/>
          <w:rtl/>
        </w:rPr>
        <w:t xml:space="preserve"> بالقراءة والتّأويل</w:t>
      </w:r>
      <w:r w:rsidR="003D7B40" w:rsidRPr="003F279C">
        <w:rPr>
          <w:rFonts w:ascii="Dubai Light" w:hAnsi="Dubai Light" w:cs="Dubai Light"/>
          <w:b/>
          <w:bCs/>
          <w:sz w:val="36"/>
          <w:szCs w:val="36"/>
          <w:rtl/>
        </w:rPr>
        <w:t xml:space="preserve"> والنقد</w:t>
      </w:r>
      <w:r w:rsidRPr="003F279C">
        <w:rPr>
          <w:rFonts w:ascii="Dubai Light" w:hAnsi="Dubai Light" w:cs="Dubai Light"/>
          <w:b/>
          <w:bCs/>
          <w:sz w:val="36"/>
          <w:szCs w:val="36"/>
          <w:rtl/>
        </w:rPr>
        <w:t xml:space="preserve">، ومع تطوُّر النّظريات النّقديّة وترحالها الدّائم بين </w:t>
      </w:r>
      <w:r w:rsidR="0006639A" w:rsidRPr="003F279C">
        <w:rPr>
          <w:rFonts w:ascii="Dubai Light" w:hAnsi="Dubai Light" w:cs="Dubai Light"/>
          <w:b/>
          <w:bCs/>
          <w:sz w:val="36"/>
          <w:szCs w:val="36"/>
          <w:rtl/>
        </w:rPr>
        <w:t>حقول العلوم الإ</w:t>
      </w:r>
      <w:r w:rsidR="001B4823" w:rsidRPr="003F279C">
        <w:rPr>
          <w:rFonts w:ascii="Dubai Light" w:hAnsi="Dubai Light" w:cs="Dubai Light"/>
          <w:b/>
          <w:bCs/>
          <w:sz w:val="36"/>
          <w:szCs w:val="36"/>
          <w:rtl/>
        </w:rPr>
        <w:t>نسانيّة المتعدِّدة</w:t>
      </w:r>
      <w:r w:rsidRPr="003F279C">
        <w:rPr>
          <w:rFonts w:ascii="Dubai Light" w:hAnsi="Dubai Light" w:cs="Dubai Light"/>
          <w:b/>
          <w:bCs/>
          <w:sz w:val="36"/>
          <w:szCs w:val="36"/>
          <w:rtl/>
        </w:rPr>
        <w:t xml:space="preserve">، تطوّر الوعي بقيمة المنهج في </w:t>
      </w:r>
      <w:r w:rsidR="00E1140D" w:rsidRPr="003F279C">
        <w:rPr>
          <w:rFonts w:ascii="Dubai Light" w:hAnsi="Dubai Light" w:cs="Dubai Light"/>
          <w:b/>
          <w:bCs/>
          <w:sz w:val="36"/>
          <w:szCs w:val="36"/>
          <w:rtl/>
        </w:rPr>
        <w:t xml:space="preserve">دراسة الجوانب </w:t>
      </w:r>
      <w:r w:rsidR="0006639A" w:rsidRPr="003F279C">
        <w:rPr>
          <w:rFonts w:ascii="Dubai Light" w:hAnsi="Dubai Light" w:cs="Dubai Light"/>
          <w:b/>
          <w:bCs/>
          <w:sz w:val="36"/>
          <w:szCs w:val="36"/>
          <w:rtl/>
        </w:rPr>
        <w:t xml:space="preserve">المختلفة </w:t>
      </w:r>
      <w:r w:rsidR="00E1140D" w:rsidRPr="003F279C">
        <w:rPr>
          <w:rFonts w:ascii="Dubai Light" w:hAnsi="Dubai Light" w:cs="Dubai Light"/>
          <w:b/>
          <w:bCs/>
          <w:sz w:val="36"/>
          <w:szCs w:val="36"/>
          <w:rtl/>
        </w:rPr>
        <w:t>للأدب والنقد على حدٍّ سواء</w:t>
      </w:r>
      <w:r w:rsidR="0006639A" w:rsidRPr="003F279C">
        <w:rPr>
          <w:rFonts w:ascii="Dubai Light" w:hAnsi="Dubai Light" w:cs="Dubai Light"/>
          <w:b/>
          <w:bCs/>
          <w:sz w:val="36"/>
          <w:szCs w:val="36"/>
          <w:rtl/>
        </w:rPr>
        <w:t>.</w:t>
      </w:r>
      <w:r w:rsidR="00E1140D" w:rsidRPr="003F279C">
        <w:rPr>
          <w:rFonts w:ascii="Dubai Light" w:hAnsi="Dubai Light" w:cs="Dubai Light"/>
          <w:b/>
          <w:bCs/>
          <w:sz w:val="36"/>
          <w:szCs w:val="36"/>
          <w:rtl/>
        </w:rPr>
        <w:t xml:space="preserve"> وغنيٌّ عن البيان، أن الخطاب النّقدي العربي، كمثل الخطابات الأخرى، حَاوَلَ الاستفادة من طفرة النّظريات النقدية، وأجرأتها نظريّاً وتطبيقياً على </w:t>
      </w:r>
      <w:r w:rsidR="00E1140D" w:rsidRPr="003F279C">
        <w:rPr>
          <w:rFonts w:ascii="Dubai Light" w:hAnsi="Dubai Light" w:cs="Dubai Light"/>
          <w:b/>
          <w:bCs/>
          <w:sz w:val="36"/>
          <w:szCs w:val="36"/>
          <w:rtl/>
        </w:rPr>
        <w:lastRenderedPageBreak/>
        <w:t>النصوص الأدبيّة كما على المُقاربات النّقديّة</w:t>
      </w:r>
      <w:r w:rsidR="00765E46" w:rsidRPr="003F279C">
        <w:rPr>
          <w:rFonts w:ascii="Dubai Light" w:hAnsi="Dubai Light" w:cs="Dubai Light"/>
          <w:b/>
          <w:bCs/>
          <w:sz w:val="36"/>
          <w:szCs w:val="36"/>
          <w:rtl/>
        </w:rPr>
        <w:t>، ولعلّ الدّافع</w:t>
      </w:r>
      <w:r w:rsidR="0006639A" w:rsidRPr="003F279C">
        <w:rPr>
          <w:rFonts w:ascii="Dubai Light" w:hAnsi="Dubai Light" w:cs="Dubai Light"/>
          <w:b/>
          <w:bCs/>
          <w:sz w:val="36"/>
          <w:szCs w:val="36"/>
          <w:rtl/>
        </w:rPr>
        <w:t xml:space="preserve"> الأساس</w:t>
      </w:r>
      <w:r w:rsidR="00765E46" w:rsidRPr="003F279C">
        <w:rPr>
          <w:rFonts w:ascii="Dubai Light" w:hAnsi="Dubai Light" w:cs="Dubai Light"/>
          <w:b/>
          <w:bCs/>
          <w:sz w:val="36"/>
          <w:szCs w:val="36"/>
          <w:rtl/>
        </w:rPr>
        <w:t xml:space="preserve"> إلى هذا الربط بين الحس المنهجي والممارسة النّقديّة</w:t>
      </w:r>
      <w:r w:rsidR="0006639A" w:rsidRPr="003F279C">
        <w:rPr>
          <w:rFonts w:ascii="Dubai Light" w:hAnsi="Dubai Light" w:cs="Dubai Light"/>
          <w:b/>
          <w:bCs/>
          <w:sz w:val="36"/>
          <w:szCs w:val="36"/>
          <w:rtl/>
        </w:rPr>
        <w:t xml:space="preserve"> التّأويليّة</w:t>
      </w:r>
      <w:r w:rsidR="00765E46" w:rsidRPr="003F279C">
        <w:rPr>
          <w:rFonts w:ascii="Dubai Light" w:hAnsi="Dubai Light" w:cs="Dubai Light"/>
          <w:b/>
          <w:bCs/>
          <w:sz w:val="36"/>
          <w:szCs w:val="36"/>
          <w:rtl/>
        </w:rPr>
        <w:t xml:space="preserve">، هو علاقتهما التي تنطوي على أبعادَ معرفيّة وقرائيّة، ومعلوم، أن الممارسة النقدية بمفهومها الواسع والمُمَنْهَج لم </w:t>
      </w:r>
      <w:r w:rsidR="00000903" w:rsidRPr="003F279C">
        <w:rPr>
          <w:rFonts w:ascii="Dubai Light" w:hAnsi="Dubai Light" w:cs="Dubai Light"/>
          <w:b/>
          <w:bCs/>
          <w:sz w:val="36"/>
          <w:szCs w:val="36"/>
          <w:rtl/>
        </w:rPr>
        <w:t>ت</w:t>
      </w:r>
      <w:r w:rsidR="00765E46" w:rsidRPr="003F279C">
        <w:rPr>
          <w:rFonts w:ascii="Dubai Light" w:hAnsi="Dubai Light" w:cs="Dubai Light"/>
          <w:b/>
          <w:bCs/>
          <w:sz w:val="36"/>
          <w:szCs w:val="36"/>
          <w:rtl/>
        </w:rPr>
        <w:t>تبلور</w:t>
      </w:r>
      <w:r w:rsidR="00000903" w:rsidRPr="003F279C">
        <w:rPr>
          <w:rFonts w:ascii="Dubai Light" w:hAnsi="Dubai Light" w:cs="Dubai Light"/>
          <w:b/>
          <w:bCs/>
          <w:sz w:val="36"/>
          <w:szCs w:val="36"/>
          <w:rtl/>
        </w:rPr>
        <w:t xml:space="preserve"> في العالم العربي</w:t>
      </w:r>
      <w:r w:rsidR="00765E46" w:rsidRPr="003F279C">
        <w:rPr>
          <w:rFonts w:ascii="Dubai Light" w:hAnsi="Dubai Light" w:cs="Dubai Light"/>
          <w:b/>
          <w:bCs/>
          <w:sz w:val="36"/>
          <w:szCs w:val="36"/>
          <w:rtl/>
        </w:rPr>
        <w:t xml:space="preserve"> إلا </w:t>
      </w:r>
      <w:r w:rsidR="0006639A" w:rsidRPr="003F279C">
        <w:rPr>
          <w:rFonts w:ascii="Dubai Light" w:hAnsi="Dubai Light" w:cs="Dubai Light"/>
          <w:b/>
          <w:bCs/>
          <w:sz w:val="36"/>
          <w:szCs w:val="36"/>
          <w:rtl/>
        </w:rPr>
        <w:t>في</w:t>
      </w:r>
      <w:r w:rsidR="00765E46" w:rsidRPr="003F279C">
        <w:rPr>
          <w:rFonts w:ascii="Dubai Light" w:hAnsi="Dubai Light" w:cs="Dubai Light"/>
          <w:b/>
          <w:bCs/>
          <w:sz w:val="36"/>
          <w:szCs w:val="36"/>
          <w:rtl/>
        </w:rPr>
        <w:t xml:space="preserve"> بداية ثمانينيات</w:t>
      </w:r>
      <w:r w:rsidR="0006639A" w:rsidRPr="003F279C">
        <w:rPr>
          <w:rFonts w:ascii="Dubai Light" w:hAnsi="Dubai Light" w:cs="Dubai Light"/>
          <w:b/>
          <w:bCs/>
          <w:sz w:val="36"/>
          <w:szCs w:val="36"/>
          <w:rtl/>
        </w:rPr>
        <w:t xml:space="preserve"> القرن الماضي</w:t>
      </w:r>
      <w:r w:rsidR="00765E46" w:rsidRPr="003F279C">
        <w:rPr>
          <w:rFonts w:ascii="Dubai Light" w:hAnsi="Dubai Light" w:cs="Dubai Light"/>
          <w:b/>
          <w:bCs/>
          <w:sz w:val="36"/>
          <w:szCs w:val="36"/>
          <w:rtl/>
        </w:rPr>
        <w:t>، بفعل</w:t>
      </w:r>
      <w:r w:rsidR="0006639A" w:rsidRPr="003F279C">
        <w:rPr>
          <w:rFonts w:ascii="Dubai Light" w:hAnsi="Dubai Light" w:cs="Dubai Light"/>
          <w:b/>
          <w:bCs/>
          <w:sz w:val="36"/>
          <w:szCs w:val="36"/>
          <w:rtl/>
        </w:rPr>
        <w:t xml:space="preserve"> التّوسُّع الإمبرياليّ</w:t>
      </w:r>
      <w:r w:rsidR="00765E46" w:rsidRPr="003F279C">
        <w:rPr>
          <w:rFonts w:ascii="Dubai Light" w:hAnsi="Dubai Light" w:cs="Dubai Light"/>
          <w:b/>
          <w:bCs/>
          <w:sz w:val="36"/>
          <w:szCs w:val="36"/>
          <w:rtl/>
        </w:rPr>
        <w:t xml:space="preserve"> </w:t>
      </w:r>
      <w:r w:rsidR="0006639A" w:rsidRPr="003F279C">
        <w:rPr>
          <w:rFonts w:ascii="Dubai Light" w:hAnsi="Dubai Light" w:cs="Dubai Light"/>
          <w:b/>
          <w:bCs/>
          <w:sz w:val="36"/>
          <w:szCs w:val="36"/>
          <w:rtl/>
        </w:rPr>
        <w:t>و</w:t>
      </w:r>
      <w:r w:rsidR="00603372" w:rsidRPr="003F279C">
        <w:rPr>
          <w:rFonts w:ascii="Dubai Light" w:hAnsi="Dubai Light" w:cs="Dubai Light"/>
          <w:b/>
          <w:bCs/>
          <w:sz w:val="36"/>
          <w:szCs w:val="36"/>
          <w:rtl/>
        </w:rPr>
        <w:t>الكتابات التُّرجميّة</w:t>
      </w:r>
      <w:r w:rsidR="0006639A" w:rsidRPr="003F279C">
        <w:rPr>
          <w:rFonts w:ascii="Dubai Light" w:hAnsi="Dubai Light" w:cs="Dubai Light"/>
          <w:b/>
          <w:bCs/>
          <w:sz w:val="36"/>
          <w:szCs w:val="36"/>
          <w:rtl/>
        </w:rPr>
        <w:t xml:space="preserve"> والاستشراق</w:t>
      </w:r>
      <w:r w:rsidR="00765E46" w:rsidRPr="003F279C">
        <w:rPr>
          <w:rFonts w:ascii="Dubai Light" w:hAnsi="Dubai Light" w:cs="Dubai Light"/>
          <w:b/>
          <w:bCs/>
          <w:sz w:val="36"/>
          <w:szCs w:val="36"/>
          <w:rtl/>
        </w:rPr>
        <w:t>، و"تحت إلحاح التّشبع بالمناهج النقدية الغربية"</w:t>
      </w:r>
      <w:r w:rsidR="00765E46" w:rsidRPr="003F279C">
        <w:rPr>
          <w:rFonts w:ascii="Dubai Light" w:hAnsi="Dubai Light" w:cs="Dubai Light"/>
          <w:b/>
          <w:bCs/>
          <w:sz w:val="36"/>
          <w:szCs w:val="36"/>
          <w:vertAlign w:val="superscript"/>
          <w:rtl/>
        </w:rPr>
        <w:t>(</w:t>
      </w:r>
      <w:r w:rsidR="00AC011C">
        <w:rPr>
          <w:rStyle w:val="Appelnotedebasdep"/>
          <w:rFonts w:ascii="Dubai Light" w:hAnsi="Dubai Light" w:cs="Dubai Light"/>
          <w:b/>
          <w:bCs/>
          <w:sz w:val="36"/>
          <w:szCs w:val="36"/>
          <w:rtl/>
        </w:rPr>
        <w:footnoteReference w:id="1"/>
      </w:r>
      <w:r w:rsidR="00EA7C18" w:rsidRPr="003F279C">
        <w:rPr>
          <w:rFonts w:ascii="Dubai Light" w:hAnsi="Dubai Light" w:cs="Dubai Light"/>
          <w:b/>
          <w:bCs/>
          <w:sz w:val="36"/>
          <w:szCs w:val="36"/>
          <w:vertAlign w:val="superscript"/>
          <w:rtl/>
        </w:rPr>
        <w:t>1</w:t>
      </w:r>
      <w:r w:rsidR="00765E46" w:rsidRPr="003F279C">
        <w:rPr>
          <w:rFonts w:ascii="Dubai Light" w:hAnsi="Dubai Light" w:cs="Dubai Light"/>
          <w:b/>
          <w:bCs/>
          <w:sz w:val="36"/>
          <w:szCs w:val="36"/>
          <w:vertAlign w:val="superscript"/>
          <w:rtl/>
        </w:rPr>
        <w:t>)</w:t>
      </w:r>
      <w:r w:rsidR="00765E46" w:rsidRPr="003F279C">
        <w:rPr>
          <w:rFonts w:ascii="Dubai Light" w:hAnsi="Dubai Light" w:cs="Dubai Light"/>
          <w:b/>
          <w:bCs/>
          <w:sz w:val="36"/>
          <w:szCs w:val="36"/>
          <w:rtl/>
        </w:rPr>
        <w:t xml:space="preserve">، </w:t>
      </w:r>
      <w:r w:rsidR="00000903" w:rsidRPr="003F279C">
        <w:rPr>
          <w:rFonts w:ascii="Dubai Light" w:hAnsi="Dubai Light" w:cs="Dubai Light"/>
          <w:b/>
          <w:bCs/>
          <w:sz w:val="36"/>
          <w:szCs w:val="36"/>
          <w:rtl/>
        </w:rPr>
        <w:t>فلا غرابة، أن نجد معظم الم</w:t>
      </w:r>
      <w:r w:rsidR="0006639A" w:rsidRPr="003F279C">
        <w:rPr>
          <w:rFonts w:ascii="Dubai Light" w:hAnsi="Dubai Light" w:cs="Dubai Light"/>
          <w:b/>
          <w:bCs/>
          <w:sz w:val="36"/>
          <w:szCs w:val="36"/>
          <w:rtl/>
        </w:rPr>
        <w:t xml:space="preserve">ُقاربات النقدية العربيّة، ما هي، </w:t>
      </w:r>
      <w:r w:rsidR="00603372" w:rsidRPr="003F279C">
        <w:rPr>
          <w:rFonts w:ascii="Dubai Light" w:hAnsi="Dubai Light" w:cs="Dubai Light"/>
          <w:b/>
          <w:bCs/>
          <w:sz w:val="36"/>
          <w:szCs w:val="36"/>
          <w:rtl/>
        </w:rPr>
        <w:t>في نهاية المطاف،</w:t>
      </w:r>
      <w:r w:rsidR="0006639A" w:rsidRPr="003F279C">
        <w:rPr>
          <w:rFonts w:ascii="Dubai Light" w:hAnsi="Dubai Light" w:cs="Dubai Light"/>
          <w:b/>
          <w:bCs/>
          <w:sz w:val="36"/>
          <w:szCs w:val="36"/>
          <w:rtl/>
        </w:rPr>
        <w:t xml:space="preserve"> وعلى نحوٍ</w:t>
      </w:r>
      <w:r w:rsidR="00603372" w:rsidRPr="003F279C">
        <w:rPr>
          <w:rFonts w:ascii="Dubai Light" w:hAnsi="Dubai Light" w:cs="Dubai Light"/>
          <w:b/>
          <w:bCs/>
          <w:sz w:val="36"/>
          <w:szCs w:val="36"/>
          <w:rtl/>
        </w:rPr>
        <w:t xml:space="preserve"> كليّ أو جزئي،</w:t>
      </w:r>
      <w:r w:rsidR="0006639A" w:rsidRPr="003F279C">
        <w:rPr>
          <w:rFonts w:ascii="Dubai Light" w:hAnsi="Dubai Light" w:cs="Dubai Light"/>
          <w:b/>
          <w:bCs/>
          <w:sz w:val="36"/>
          <w:szCs w:val="36"/>
          <w:rtl/>
        </w:rPr>
        <w:t xml:space="preserve"> إلا</w:t>
      </w:r>
      <w:r w:rsidR="00603372" w:rsidRPr="003F279C">
        <w:rPr>
          <w:rFonts w:ascii="Dubai Light" w:hAnsi="Dubai Light" w:cs="Dubai Light"/>
          <w:b/>
          <w:bCs/>
          <w:sz w:val="36"/>
          <w:szCs w:val="36"/>
          <w:rtl/>
        </w:rPr>
        <w:t xml:space="preserve"> مجرّد</w:t>
      </w:r>
      <w:r w:rsidR="00000903" w:rsidRPr="003F279C">
        <w:rPr>
          <w:rFonts w:ascii="Dubai Light" w:hAnsi="Dubai Light" w:cs="Dubai Light"/>
          <w:b/>
          <w:bCs/>
          <w:sz w:val="36"/>
          <w:szCs w:val="36"/>
          <w:rtl/>
        </w:rPr>
        <w:t xml:space="preserve"> "قراءات استنساخيّة"</w:t>
      </w:r>
      <w:r w:rsidR="0006639A" w:rsidRPr="003F279C">
        <w:rPr>
          <w:rFonts w:ascii="Dubai Light" w:hAnsi="Dubai Light" w:cs="Dubai Light"/>
          <w:b/>
          <w:bCs/>
          <w:sz w:val="36"/>
          <w:szCs w:val="36"/>
          <w:rtl/>
        </w:rPr>
        <w:t>لما يمور في</w:t>
      </w:r>
      <w:r w:rsidR="003D7B40" w:rsidRPr="003F279C">
        <w:rPr>
          <w:rFonts w:ascii="Dubai Light" w:hAnsi="Dubai Light" w:cs="Dubai Light"/>
          <w:b/>
          <w:bCs/>
          <w:sz w:val="36"/>
          <w:szCs w:val="36"/>
          <w:rtl/>
        </w:rPr>
        <w:t xml:space="preserve"> الفضاء</w:t>
      </w:r>
      <w:r w:rsidR="0006639A" w:rsidRPr="003F279C">
        <w:rPr>
          <w:rFonts w:ascii="Dubai Light" w:hAnsi="Dubai Light" w:cs="Dubai Light"/>
          <w:b/>
          <w:bCs/>
          <w:sz w:val="36"/>
          <w:szCs w:val="36"/>
          <w:rtl/>
        </w:rPr>
        <w:t xml:space="preserve"> الغرب</w:t>
      </w:r>
      <w:r w:rsidR="003D7B40" w:rsidRPr="003F279C">
        <w:rPr>
          <w:rFonts w:ascii="Dubai Light" w:hAnsi="Dubai Light" w:cs="Dubai Light"/>
          <w:b/>
          <w:bCs/>
          <w:sz w:val="36"/>
          <w:szCs w:val="36"/>
          <w:rtl/>
        </w:rPr>
        <w:t>ي</w:t>
      </w:r>
      <w:r w:rsidR="00000903" w:rsidRPr="003F279C">
        <w:rPr>
          <w:rFonts w:ascii="Dubai Light" w:hAnsi="Dubai Light" w:cs="Dubai Light"/>
          <w:b/>
          <w:bCs/>
          <w:sz w:val="36"/>
          <w:szCs w:val="36"/>
          <w:rtl/>
        </w:rPr>
        <w:t xml:space="preserve"> </w:t>
      </w:r>
      <w:r w:rsidR="0006639A" w:rsidRPr="003F279C">
        <w:rPr>
          <w:rFonts w:ascii="Dubai Light" w:hAnsi="Dubai Light" w:cs="Dubai Light"/>
          <w:b/>
          <w:bCs/>
          <w:sz w:val="36"/>
          <w:szCs w:val="36"/>
          <w:rtl/>
        </w:rPr>
        <w:t xml:space="preserve">من </w:t>
      </w:r>
      <w:r w:rsidR="003D7B40" w:rsidRPr="003F279C">
        <w:rPr>
          <w:rFonts w:ascii="Dubai Light" w:hAnsi="Dubai Light" w:cs="Dubai Light"/>
          <w:b/>
          <w:bCs/>
          <w:sz w:val="36"/>
          <w:szCs w:val="36"/>
          <w:rtl/>
        </w:rPr>
        <w:t>كشوفات حول النّقد والنّظريّة</w:t>
      </w:r>
      <w:r w:rsidR="00000903" w:rsidRPr="003F279C">
        <w:rPr>
          <w:rFonts w:ascii="Dubai Light" w:hAnsi="Dubai Light" w:cs="Dubai Light"/>
          <w:b/>
          <w:bCs/>
          <w:sz w:val="36"/>
          <w:szCs w:val="36"/>
          <w:rtl/>
        </w:rPr>
        <w:t xml:space="preserve">، وهو </w:t>
      </w:r>
      <w:r w:rsidR="0006639A" w:rsidRPr="003F279C">
        <w:rPr>
          <w:rFonts w:ascii="Dubai Light" w:hAnsi="Dubai Light" w:cs="Dubai Light"/>
          <w:b/>
          <w:bCs/>
          <w:sz w:val="36"/>
          <w:szCs w:val="36"/>
          <w:rtl/>
        </w:rPr>
        <w:t>انعكاسٌ</w:t>
      </w:r>
      <w:r w:rsidR="00000903" w:rsidRPr="003F279C">
        <w:rPr>
          <w:rFonts w:ascii="Dubai Light" w:hAnsi="Dubai Light" w:cs="Dubai Light"/>
          <w:b/>
          <w:bCs/>
          <w:sz w:val="36"/>
          <w:szCs w:val="36"/>
          <w:rtl/>
        </w:rPr>
        <w:t xml:space="preserve"> طبيعي، طالما أن المناهج الغربية كانت أشد وطأةً</w:t>
      </w:r>
      <w:r w:rsidR="00603372" w:rsidRPr="003F279C">
        <w:rPr>
          <w:rFonts w:ascii="Dubai Light" w:hAnsi="Dubai Light" w:cs="Dubai Light"/>
          <w:b/>
          <w:bCs/>
          <w:sz w:val="36"/>
          <w:szCs w:val="36"/>
          <w:rtl/>
        </w:rPr>
        <w:t xml:space="preserve"> وتأثيراً على الممارسة النقدية العربية، ومع ذلك، لا يُمكننا تبخيس جهود نُقادنا </w:t>
      </w:r>
      <w:r w:rsidR="003D7B40" w:rsidRPr="003F279C">
        <w:rPr>
          <w:rFonts w:ascii="Dubai Light" w:hAnsi="Dubai Light" w:cs="Dubai Light"/>
          <w:b/>
          <w:bCs/>
          <w:sz w:val="36"/>
          <w:szCs w:val="36"/>
          <w:rtl/>
        </w:rPr>
        <w:t>ومقدرتهم الكبيرة في تعميق النقاش حول النّظرية النقدية</w:t>
      </w:r>
      <w:r w:rsidR="00603372" w:rsidRPr="003F279C">
        <w:rPr>
          <w:rFonts w:ascii="Dubai Light" w:hAnsi="Dubai Light" w:cs="Dubai Light"/>
          <w:b/>
          <w:bCs/>
          <w:sz w:val="36"/>
          <w:szCs w:val="36"/>
          <w:rtl/>
        </w:rPr>
        <w:t xml:space="preserve"> </w:t>
      </w:r>
      <w:r w:rsidR="003D7B40" w:rsidRPr="003F279C">
        <w:rPr>
          <w:rFonts w:ascii="Dubai Light" w:hAnsi="Dubai Light" w:cs="Dubai Light"/>
          <w:b/>
          <w:bCs/>
          <w:sz w:val="36"/>
          <w:szCs w:val="36"/>
          <w:rtl/>
        </w:rPr>
        <w:t>و</w:t>
      </w:r>
      <w:r w:rsidR="00603372" w:rsidRPr="003F279C">
        <w:rPr>
          <w:rFonts w:ascii="Dubai Light" w:hAnsi="Dubai Light" w:cs="Dubai Light"/>
          <w:b/>
          <w:bCs/>
          <w:sz w:val="36"/>
          <w:szCs w:val="36"/>
          <w:rtl/>
        </w:rPr>
        <w:t>مُحاولاتهم استيعاب</w:t>
      </w:r>
      <w:r w:rsidR="003D7B40" w:rsidRPr="003F279C">
        <w:rPr>
          <w:rFonts w:ascii="Dubai Light" w:hAnsi="Dubai Light" w:cs="Dubai Light"/>
          <w:b/>
          <w:bCs/>
          <w:sz w:val="36"/>
          <w:szCs w:val="36"/>
          <w:rtl/>
        </w:rPr>
        <w:t>ها، ومن تم،</w:t>
      </w:r>
      <w:r w:rsidR="00603372" w:rsidRPr="003F279C">
        <w:rPr>
          <w:rFonts w:ascii="Dubai Light" w:hAnsi="Dubai Light" w:cs="Dubai Light"/>
          <w:b/>
          <w:bCs/>
          <w:sz w:val="36"/>
          <w:szCs w:val="36"/>
          <w:rtl/>
        </w:rPr>
        <w:t xml:space="preserve"> بلورتها وأجرأتها في النقد الأدبي وغيره.</w:t>
      </w:r>
    </w:p>
    <w:p w:rsidR="008B4E68" w:rsidRDefault="00000903" w:rsidP="007B04BD">
      <w:pPr>
        <w:bidi/>
        <w:spacing w:line="240" w:lineRule="auto"/>
        <w:jc w:val="both"/>
        <w:rPr>
          <w:rFonts w:ascii="Dubai Light" w:hAnsi="Dubai Light" w:cs="Dubai Light"/>
          <w:b/>
          <w:bCs/>
          <w:sz w:val="36"/>
          <w:szCs w:val="36"/>
          <w:rtl/>
        </w:rPr>
      </w:pPr>
      <w:r w:rsidRPr="003F279C">
        <w:rPr>
          <w:rFonts w:ascii="Dubai Light" w:hAnsi="Dubai Light" w:cs="Dubai Light"/>
          <w:b/>
          <w:bCs/>
          <w:sz w:val="36"/>
          <w:szCs w:val="36"/>
          <w:rtl/>
        </w:rPr>
        <w:t xml:space="preserve">   نستطيع القول، إننا أمام أزمة إبستيميّة في تلقِّي المناهج الغربيّة ومُحاولات استنباتها في أرضٍ نقديّةٍ عربيّة لها خصوصيّات معيّنةً ومغايرة، فالممارسة النقدية الحقة </w:t>
      </w:r>
      <w:r w:rsidR="005760F4" w:rsidRPr="003F279C">
        <w:rPr>
          <w:rFonts w:ascii="Dubai Light" w:hAnsi="Dubai Light" w:cs="Dubai Light"/>
          <w:b/>
          <w:bCs/>
          <w:sz w:val="36"/>
          <w:szCs w:val="36"/>
          <w:rtl/>
        </w:rPr>
        <w:t xml:space="preserve">لا تتم إلا وفق منظورات في القراءة والتأويل، وغير منفصلة عن الإشكالات المعرفيّة والقرائيّة بالدرجة الأولى، حيث لا بدّ من التقاء القارئ والمقروء داخل منطقة واحدة، هي القراءة، وداخل زمنٍ واحدٍ أيضاً هو زمن القراءة، لأن من شأن ذلك، تنسيب الفعل القرائيّ وأجرأته بما يتلاءم مع طبيعة النّص المقروء وما يطرحه </w:t>
      </w:r>
      <w:r w:rsidR="005760F4" w:rsidRPr="003F279C">
        <w:rPr>
          <w:rFonts w:ascii="Dubai Light" w:hAnsi="Dubai Light" w:cs="Dubai Light"/>
          <w:b/>
          <w:bCs/>
          <w:sz w:val="36"/>
          <w:szCs w:val="36"/>
          <w:rtl/>
        </w:rPr>
        <w:lastRenderedPageBreak/>
        <w:t>من إ</w:t>
      </w:r>
      <w:r w:rsidR="00603372" w:rsidRPr="003F279C">
        <w:rPr>
          <w:rFonts w:ascii="Dubai Light" w:hAnsi="Dubai Light" w:cs="Dubai Light"/>
          <w:b/>
          <w:bCs/>
          <w:sz w:val="36"/>
          <w:szCs w:val="36"/>
          <w:rtl/>
        </w:rPr>
        <w:t>شكالات، فـ"هذه المدل</w:t>
      </w:r>
      <w:r w:rsidR="005760F4" w:rsidRPr="003F279C">
        <w:rPr>
          <w:rFonts w:ascii="Dubai Light" w:hAnsi="Dubai Light" w:cs="Dubai Light"/>
          <w:b/>
          <w:bCs/>
          <w:sz w:val="36"/>
          <w:szCs w:val="36"/>
          <w:rtl/>
        </w:rPr>
        <w:t xml:space="preserve">ولات الثلاثة تتجاوب في دلالةٍ أساسيّة </w:t>
      </w:r>
      <w:r w:rsidR="008B4E68" w:rsidRPr="003F279C">
        <w:rPr>
          <w:rFonts w:ascii="Dubai Light" w:hAnsi="Dubai Light" w:cs="Dubai Light"/>
          <w:b/>
          <w:bCs/>
          <w:sz w:val="36"/>
          <w:szCs w:val="36"/>
          <w:rtl/>
        </w:rPr>
        <w:t>لا تفارق التّصور المعاصر للقراءة، من حيث هو تصور يبدأ بتأكيد ما يقوم به القارئ من اختيار لمعنى بعينه داخل التتابع المتضام لمساق الكلمات في النص المقروء، وينتهي بأداء القارئ لهذا المعنى المختار، بما يكشف عن خصوصيّة فهم هذا القارئ، أو كيفية إدراكه النص المقروء. وفي الوقت نفسه، فإن هذه المدلولات الثلاثة تتجاوب مع المعنى الإبداعي الذي يتضمنه التصور المعاصر للقراءة. خصوصاً حين تقترن القراءة بالاكتشاف والتعرف وإنتاج معرفة جديدة بالمقروء"</w:t>
      </w:r>
      <w:r w:rsidR="008B4E68" w:rsidRPr="003F279C">
        <w:rPr>
          <w:rFonts w:ascii="Dubai Light" w:hAnsi="Dubai Light" w:cs="Dubai Light"/>
          <w:b/>
          <w:bCs/>
          <w:sz w:val="36"/>
          <w:szCs w:val="36"/>
          <w:vertAlign w:val="superscript"/>
          <w:rtl/>
        </w:rPr>
        <w:t>(</w:t>
      </w:r>
      <w:r w:rsidR="00AC011C">
        <w:rPr>
          <w:rStyle w:val="Appelnotedebasdep"/>
          <w:rFonts w:ascii="Dubai Light" w:hAnsi="Dubai Light" w:cs="Dubai Light"/>
          <w:b/>
          <w:bCs/>
          <w:sz w:val="36"/>
          <w:szCs w:val="36"/>
          <w:rtl/>
        </w:rPr>
        <w:footnoteReference w:id="2"/>
      </w:r>
      <w:r w:rsidR="008B4E68" w:rsidRPr="003F279C">
        <w:rPr>
          <w:rFonts w:ascii="Dubai Light" w:hAnsi="Dubai Light" w:cs="Dubai Light"/>
          <w:b/>
          <w:bCs/>
          <w:sz w:val="36"/>
          <w:szCs w:val="36"/>
          <w:vertAlign w:val="superscript"/>
          <w:rtl/>
        </w:rPr>
        <w:t>)</w:t>
      </w:r>
      <w:r w:rsidR="008B4E68" w:rsidRPr="003F279C">
        <w:rPr>
          <w:rFonts w:ascii="Dubai Light" w:hAnsi="Dubai Light" w:cs="Dubai Light"/>
          <w:b/>
          <w:bCs/>
          <w:sz w:val="36"/>
          <w:szCs w:val="36"/>
          <w:rtl/>
        </w:rPr>
        <w:t xml:space="preserve">، </w:t>
      </w:r>
      <w:r w:rsidR="00603372" w:rsidRPr="003F279C">
        <w:rPr>
          <w:rFonts w:ascii="Dubai Light" w:hAnsi="Dubai Light" w:cs="Dubai Light"/>
          <w:b/>
          <w:bCs/>
          <w:sz w:val="36"/>
          <w:szCs w:val="36"/>
          <w:rtl/>
        </w:rPr>
        <w:t>وهذه المنظورات</w:t>
      </w:r>
      <w:r w:rsidR="0006639A" w:rsidRPr="003F279C">
        <w:rPr>
          <w:rFonts w:ascii="Dubai Light" w:hAnsi="Dubai Light" w:cs="Dubai Light"/>
          <w:b/>
          <w:bCs/>
          <w:sz w:val="36"/>
          <w:szCs w:val="36"/>
          <w:rtl/>
        </w:rPr>
        <w:t xml:space="preserve"> القرائيّة</w:t>
      </w:r>
      <w:r w:rsidR="00603372" w:rsidRPr="003F279C">
        <w:rPr>
          <w:rFonts w:ascii="Dubai Light" w:hAnsi="Dubai Light" w:cs="Dubai Light"/>
          <w:b/>
          <w:bCs/>
          <w:sz w:val="36"/>
          <w:szCs w:val="36"/>
          <w:rtl/>
        </w:rPr>
        <w:t>، لا بد لها حين تتناول الظاهرة الأدبية ومُقاربتها، أن تَضَعَ استراتيجية قرائية مناسبة للنص، حيث إن لكلٍّ نصٍ كينونته الخاصة.. تركيبته الخاصة، وبالتالي، اختيار المنهج الملائم لقراءته ودراسته، فالأزمة، -من وجهة نظرنا-، هي أزمة تقاطع</w:t>
      </w:r>
      <w:r w:rsidR="003E5421" w:rsidRPr="003F279C">
        <w:rPr>
          <w:rFonts w:ascii="Dubai Light" w:hAnsi="Dubai Light" w:cs="Dubai Light"/>
          <w:b/>
          <w:bCs/>
          <w:sz w:val="36"/>
          <w:szCs w:val="36"/>
          <w:rtl/>
        </w:rPr>
        <w:t xml:space="preserve"> أو تنافر</w:t>
      </w:r>
      <w:r w:rsidR="00603372" w:rsidRPr="003F279C">
        <w:rPr>
          <w:rFonts w:ascii="Dubai Light" w:hAnsi="Dubai Light" w:cs="Dubai Light"/>
          <w:b/>
          <w:bCs/>
          <w:sz w:val="36"/>
          <w:szCs w:val="36"/>
          <w:rtl/>
        </w:rPr>
        <w:t xml:space="preserve"> بين ما هو عربي وما هو غربي، وبين ما هو نظري وما هو تطبيقي، لأن هناك من الدراسات من تُمارس على القارئ معرفةً عالمةً، مُركّبَةً،</w:t>
      </w:r>
      <w:r w:rsidR="003E5421" w:rsidRPr="003F279C">
        <w:rPr>
          <w:rFonts w:ascii="Dubai Light" w:hAnsi="Dubai Light" w:cs="Dubai Light"/>
          <w:b/>
          <w:bCs/>
          <w:sz w:val="36"/>
          <w:szCs w:val="36"/>
          <w:rtl/>
        </w:rPr>
        <w:t xml:space="preserve"> مُتوحِّشَة</w:t>
      </w:r>
      <w:r w:rsidR="00603372" w:rsidRPr="003F279C">
        <w:rPr>
          <w:rFonts w:ascii="Dubai Light" w:hAnsi="Dubai Light" w:cs="Dubai Light"/>
          <w:b/>
          <w:bCs/>
          <w:sz w:val="36"/>
          <w:szCs w:val="36"/>
          <w:rtl/>
        </w:rPr>
        <w:t xml:space="preserve"> </w:t>
      </w:r>
      <w:r w:rsidR="003E5421" w:rsidRPr="003F279C">
        <w:rPr>
          <w:rFonts w:ascii="Dubai Light" w:hAnsi="Dubai Light" w:cs="Dubai Light"/>
          <w:b/>
          <w:bCs/>
          <w:sz w:val="36"/>
          <w:szCs w:val="36"/>
          <w:rtl/>
        </w:rPr>
        <w:t>و</w:t>
      </w:r>
      <w:r w:rsidR="00E42829" w:rsidRPr="003F279C">
        <w:rPr>
          <w:rFonts w:ascii="Dubai Light" w:hAnsi="Dubai Light" w:cs="Dubai Light"/>
          <w:b/>
          <w:bCs/>
          <w:sz w:val="36"/>
          <w:szCs w:val="36"/>
          <w:rtl/>
        </w:rPr>
        <w:t>مُنفصلةً تماماً عن وعي القارئ وإدراكه من جهةٍ، ثم، عن طبيعة النًص من جهةٍ أخرى، فالمقصود من فعل القراءة، ليس النقد والتّأويل والكشف فحسب، وإنّما، التّأسيس لمعرفةٍ ثانيةٍ تتماهى مع المعرفة الأولى وتُعَضِّدُها، والإنصات الجيّد لنبض المقروء، "بعيداً عن الإسقاطات المفاهيمية الجاهزة، والتي من شأنها خنق النص ومُحاصرته بترسانتها النّظرية"</w:t>
      </w:r>
      <w:r w:rsidR="00741185" w:rsidRPr="003F279C">
        <w:rPr>
          <w:rFonts w:ascii="Dubai Light" w:hAnsi="Dubai Light" w:cs="Dubai Light"/>
          <w:b/>
          <w:bCs/>
          <w:sz w:val="36"/>
          <w:szCs w:val="36"/>
          <w:vertAlign w:val="superscript"/>
          <w:rtl/>
        </w:rPr>
        <w:t>(</w:t>
      </w:r>
      <w:r w:rsidR="00EA7C18" w:rsidRPr="003F279C">
        <w:rPr>
          <w:rFonts w:ascii="Dubai Light" w:hAnsi="Dubai Light" w:cs="Dubai Light"/>
          <w:b/>
          <w:bCs/>
          <w:sz w:val="36"/>
          <w:szCs w:val="36"/>
          <w:vertAlign w:val="superscript"/>
          <w:rtl/>
        </w:rPr>
        <w:t>3</w:t>
      </w:r>
      <w:r w:rsidR="00AC011C">
        <w:rPr>
          <w:rStyle w:val="Appelnotedebasdep"/>
          <w:rFonts w:ascii="Dubai Light" w:hAnsi="Dubai Light" w:cs="Dubai Light"/>
          <w:b/>
          <w:bCs/>
          <w:sz w:val="36"/>
          <w:szCs w:val="36"/>
          <w:rtl/>
        </w:rPr>
        <w:footnoteReference w:id="3"/>
      </w:r>
      <w:r w:rsidR="00741185" w:rsidRPr="003F279C">
        <w:rPr>
          <w:rFonts w:ascii="Dubai Light" w:hAnsi="Dubai Light" w:cs="Dubai Light"/>
          <w:b/>
          <w:bCs/>
          <w:sz w:val="36"/>
          <w:szCs w:val="36"/>
          <w:vertAlign w:val="superscript"/>
          <w:rtl/>
        </w:rPr>
        <w:t>)</w:t>
      </w:r>
      <w:r w:rsidR="00423E88" w:rsidRPr="003F279C">
        <w:rPr>
          <w:rFonts w:ascii="Dubai Light" w:hAnsi="Dubai Light" w:cs="Dubai Light"/>
          <w:b/>
          <w:bCs/>
          <w:sz w:val="36"/>
          <w:szCs w:val="36"/>
          <w:rtl/>
        </w:rPr>
        <w:t xml:space="preserve">. من هذه الزّاوية، من الجدالات حول سؤال المنهج وفعل القراءة، اللذان يُسهمان في مُقاربة النّصوص تحت هاجس المراجعات المُستمرّة التي تعرفها العلوم </w:t>
      </w:r>
      <w:r w:rsidR="00423E88" w:rsidRPr="003F279C">
        <w:rPr>
          <w:rFonts w:ascii="Dubai Light" w:hAnsi="Dubai Light" w:cs="Dubai Light"/>
          <w:b/>
          <w:bCs/>
          <w:sz w:val="36"/>
          <w:szCs w:val="36"/>
          <w:rtl/>
        </w:rPr>
        <w:lastRenderedPageBreak/>
        <w:t xml:space="preserve">الإنسانيّة، ومثل هذه المراجعات </w:t>
      </w:r>
      <w:r w:rsidR="00A66452" w:rsidRPr="003F279C">
        <w:rPr>
          <w:rFonts w:ascii="Dubai Light" w:hAnsi="Dubai Light" w:cs="Dubai Light"/>
          <w:b/>
          <w:bCs/>
          <w:sz w:val="36"/>
          <w:szCs w:val="36"/>
          <w:rtl/>
        </w:rPr>
        <w:t>قمينة بالكشف "عن حدود التّداخل بين العلم والأدب والبحث عن تجليات أحدهما في الآخر، يُشعر الناس بأن الباحث عن مظاهر التجلي يسعى إلى إكراه عُنُقَيْ المتنافرين بلزوم ما لا يلزم، وتطويع ما لا يُطيع إلا بالانكسار. ومرد هذا التّوجُس كامن –في اعتقادنا- في التعاريف البسيطة التي تختزل الأدب والعلم في مفاهيم ترفع من درجة الاختلاف بينهما، وكامن أيضاً في المراجعات المستمرة لهذين المفهومين عند كل ممارسة نقدية، باعتبار النقد أحد المسوغات الكبرى للتجسير بينهما"</w:t>
      </w:r>
      <w:r w:rsidR="00846DDD" w:rsidRPr="003F279C">
        <w:rPr>
          <w:rFonts w:ascii="Dubai Light" w:hAnsi="Dubai Light" w:cs="Dubai Light"/>
          <w:b/>
          <w:bCs/>
          <w:sz w:val="36"/>
          <w:szCs w:val="36"/>
          <w:vertAlign w:val="superscript"/>
          <w:rtl/>
        </w:rPr>
        <w:t>(</w:t>
      </w:r>
      <w:r w:rsidR="00EA7C18" w:rsidRPr="003F279C">
        <w:rPr>
          <w:rFonts w:ascii="Dubai Light" w:hAnsi="Dubai Light" w:cs="Dubai Light"/>
          <w:b/>
          <w:bCs/>
          <w:sz w:val="36"/>
          <w:szCs w:val="36"/>
          <w:vertAlign w:val="superscript"/>
          <w:rtl/>
        </w:rPr>
        <w:t>4</w:t>
      </w:r>
      <w:r w:rsidR="007B04BD">
        <w:rPr>
          <w:rStyle w:val="Appelnotedebasdep"/>
          <w:rFonts w:ascii="Dubai Light" w:hAnsi="Dubai Light" w:cs="Dubai Light"/>
          <w:b/>
          <w:bCs/>
          <w:sz w:val="36"/>
          <w:szCs w:val="36"/>
          <w:rtl/>
        </w:rPr>
        <w:footnoteReference w:id="4"/>
      </w:r>
      <w:r w:rsidR="00846DDD" w:rsidRPr="003F279C">
        <w:rPr>
          <w:rFonts w:ascii="Dubai Light" w:hAnsi="Dubai Light" w:cs="Dubai Light"/>
          <w:b/>
          <w:bCs/>
          <w:sz w:val="36"/>
          <w:szCs w:val="36"/>
          <w:vertAlign w:val="superscript"/>
          <w:rtl/>
        </w:rPr>
        <w:t>)</w:t>
      </w:r>
      <w:r w:rsidR="00846DDD" w:rsidRPr="003F279C">
        <w:rPr>
          <w:rFonts w:ascii="Dubai Light" w:hAnsi="Dubai Light" w:cs="Dubai Light"/>
          <w:b/>
          <w:bCs/>
          <w:sz w:val="36"/>
          <w:szCs w:val="36"/>
          <w:rtl/>
        </w:rPr>
        <w:t xml:space="preserve">، وعلى هذا الأساس، فإن الحديث عن فاعليّة المنهج في المُقاربات النّقديّة، يمَثِّلُ اختياراً قرائيّاً يستبطِنُ رؤى وتصوُرات مُشتركة بين القارئ والمقروء، ففاعليّة المنهج وحافزيّته، لا تتحقق بمفهومها الرّصين والمعرفي، إلا في حالة التحامها مع منظور القارئ، حيث </w:t>
      </w:r>
      <w:r w:rsidR="00835E26" w:rsidRPr="003F279C">
        <w:rPr>
          <w:rFonts w:ascii="Dubai Light" w:hAnsi="Dubai Light" w:cs="Dubai Light"/>
          <w:b/>
          <w:bCs/>
          <w:sz w:val="36"/>
          <w:szCs w:val="36"/>
          <w:rtl/>
        </w:rPr>
        <w:t>ها هنا، تكمن خصوصيّات القراءة وتجلِّياتها الجماليّة والدلالية والبنائيّة. لقد راهنت نّظريات التّلقي مع إيزر وغيره</w:t>
      </w:r>
      <w:r w:rsidR="0090565C" w:rsidRPr="003F279C">
        <w:rPr>
          <w:rFonts w:ascii="Dubai Light" w:hAnsi="Dubai Light" w:cs="Dubai Light"/>
          <w:b/>
          <w:bCs/>
          <w:sz w:val="36"/>
          <w:szCs w:val="36"/>
        </w:rPr>
        <w:t xml:space="preserve"> </w:t>
      </w:r>
      <w:r w:rsidR="0090565C" w:rsidRPr="003F279C">
        <w:rPr>
          <w:rFonts w:ascii="Dubai Light" w:hAnsi="Dubai Light" w:cs="Dubai Light"/>
          <w:b/>
          <w:bCs/>
          <w:sz w:val="36"/>
          <w:szCs w:val="36"/>
          <w:rtl/>
        </w:rPr>
        <w:t xml:space="preserve"> تحيين استراتيجيات القراءة وتعميقها</w:t>
      </w:r>
      <w:r w:rsidR="00835E26" w:rsidRPr="003F279C">
        <w:rPr>
          <w:rFonts w:ascii="Dubai Light" w:hAnsi="Dubai Light" w:cs="Dubai Light"/>
          <w:b/>
          <w:bCs/>
          <w:sz w:val="36"/>
          <w:szCs w:val="36"/>
          <w:rtl/>
        </w:rPr>
        <w:t>،</w:t>
      </w:r>
      <w:r w:rsidR="0090565C" w:rsidRPr="003F279C">
        <w:rPr>
          <w:rFonts w:ascii="Dubai Light" w:hAnsi="Dubai Light" w:cs="Dubai Light"/>
          <w:b/>
          <w:bCs/>
          <w:sz w:val="36"/>
          <w:szCs w:val="36"/>
          <w:rtl/>
        </w:rPr>
        <w:t xml:space="preserve"> فلا غرو، أنّها</w:t>
      </w:r>
      <w:r w:rsidR="00835E26" w:rsidRPr="003F279C">
        <w:rPr>
          <w:rFonts w:ascii="Dubai Light" w:hAnsi="Dubai Light" w:cs="Dubai Light"/>
          <w:b/>
          <w:bCs/>
          <w:sz w:val="36"/>
          <w:szCs w:val="36"/>
          <w:rtl/>
        </w:rPr>
        <w:t xml:space="preserve"> أسهمت إلى حدٍّ كبيرٍ في توجيه القراءة واستثمار كوامنها وأسرارها من حافّةٍ، ومن حافّةٍ أخرى، في إعادة الاعتبار إلى القارئ باعتباره "مُنتجاً آخر للنص فاعلاً فيه ومُتفاعلاً معه، عوض أن يُعتبر مجرد مُستهلك للظاهر الجمالية فيما يُمكن أن نسميه الانتقال من انزياح النص إلى انزياح القراءة"</w:t>
      </w:r>
      <w:r w:rsidR="00835E26" w:rsidRPr="003F279C">
        <w:rPr>
          <w:rFonts w:ascii="Dubai Light" w:hAnsi="Dubai Light" w:cs="Dubai Light"/>
          <w:b/>
          <w:bCs/>
          <w:sz w:val="36"/>
          <w:szCs w:val="36"/>
          <w:vertAlign w:val="superscript"/>
          <w:rtl/>
        </w:rPr>
        <w:t>(</w:t>
      </w:r>
      <w:r w:rsidR="007B04BD">
        <w:rPr>
          <w:rStyle w:val="Appelnotedebasdep"/>
          <w:rFonts w:ascii="Dubai Light" w:hAnsi="Dubai Light" w:cs="Dubai Light"/>
          <w:b/>
          <w:bCs/>
          <w:sz w:val="36"/>
          <w:szCs w:val="36"/>
          <w:rtl/>
        </w:rPr>
        <w:footnoteReference w:id="5"/>
      </w:r>
      <w:r w:rsidR="00835E26" w:rsidRPr="003F279C">
        <w:rPr>
          <w:rFonts w:ascii="Dubai Light" w:hAnsi="Dubai Light" w:cs="Dubai Light"/>
          <w:b/>
          <w:bCs/>
          <w:sz w:val="36"/>
          <w:szCs w:val="36"/>
          <w:vertAlign w:val="superscript"/>
          <w:rtl/>
        </w:rPr>
        <w:t>)</w:t>
      </w:r>
      <w:r w:rsidR="00835E26" w:rsidRPr="003F279C">
        <w:rPr>
          <w:rFonts w:ascii="Dubai Light" w:hAnsi="Dubai Light" w:cs="Dubai Light"/>
          <w:b/>
          <w:bCs/>
          <w:sz w:val="36"/>
          <w:szCs w:val="36"/>
          <w:rtl/>
        </w:rPr>
        <w:t xml:space="preserve">، بل يُمكن اعتبار </w:t>
      </w:r>
      <w:r w:rsidR="00835E26" w:rsidRPr="003F279C">
        <w:rPr>
          <w:rFonts w:ascii="Dubai Light" w:hAnsi="Dubai Light" w:cs="Dubai Light"/>
          <w:b/>
          <w:bCs/>
          <w:sz w:val="36"/>
          <w:szCs w:val="36"/>
          <w:rtl/>
        </w:rPr>
        <w:lastRenderedPageBreak/>
        <w:t>"القارئ هو المصدر النهائي للمعنى"</w:t>
      </w:r>
      <w:r w:rsidR="00835E26" w:rsidRPr="003F279C">
        <w:rPr>
          <w:rFonts w:ascii="Dubai Light" w:hAnsi="Dubai Light" w:cs="Dubai Light"/>
          <w:b/>
          <w:bCs/>
          <w:sz w:val="36"/>
          <w:szCs w:val="36"/>
          <w:vertAlign w:val="superscript"/>
          <w:rtl/>
        </w:rPr>
        <w:t>(</w:t>
      </w:r>
      <w:r w:rsidR="007B04BD">
        <w:rPr>
          <w:rStyle w:val="Appelnotedebasdep"/>
          <w:rFonts w:ascii="Dubai Light" w:hAnsi="Dubai Light" w:cs="Dubai Light"/>
          <w:b/>
          <w:bCs/>
          <w:sz w:val="36"/>
          <w:szCs w:val="36"/>
          <w:rtl/>
        </w:rPr>
        <w:footnoteReference w:id="6"/>
      </w:r>
      <w:r w:rsidR="00835E26" w:rsidRPr="003F279C">
        <w:rPr>
          <w:rFonts w:ascii="Dubai Light" w:hAnsi="Dubai Light" w:cs="Dubai Light"/>
          <w:b/>
          <w:bCs/>
          <w:sz w:val="36"/>
          <w:szCs w:val="36"/>
          <w:vertAlign w:val="superscript"/>
          <w:rtl/>
        </w:rPr>
        <w:t>)</w:t>
      </w:r>
      <w:r w:rsidR="00835E26" w:rsidRPr="003F279C">
        <w:rPr>
          <w:rFonts w:ascii="Dubai Light" w:hAnsi="Dubai Light" w:cs="Dubai Light"/>
          <w:b/>
          <w:bCs/>
          <w:sz w:val="36"/>
          <w:szCs w:val="36"/>
          <w:rtl/>
        </w:rPr>
        <w:t xml:space="preserve">، </w:t>
      </w:r>
      <w:r w:rsidR="00487331" w:rsidRPr="003F279C">
        <w:rPr>
          <w:rFonts w:ascii="Dubai Light" w:hAnsi="Dubai Light" w:cs="Dubai Light"/>
          <w:b/>
          <w:bCs/>
          <w:sz w:val="36"/>
          <w:szCs w:val="36"/>
          <w:rtl/>
        </w:rPr>
        <w:t>وبناء على كلِّ هذا، فإن قراءة العمل الأدبي والنقدي، تسمحُ بتجسير العلاقات بين عالم القارئ وعوالم النص، بما تنطوي عليه هذه العلاقة من تمايزات واختلافات، كون عمليّة الجمع بين وقائع أدبيّة وأفق انتظار القارئ، مُحاولة جديرة بالمتابعة، شرط أن تَتَمَتّعَ بالدقة اللازمة واختيار الوضع القرائي المناسب، وإلا سقطنا في التّعسُّف والفوضى</w:t>
      </w:r>
      <w:r w:rsidR="001B4823" w:rsidRPr="003F279C">
        <w:rPr>
          <w:rFonts w:ascii="Dubai Light" w:hAnsi="Dubai Light" w:cs="Dubai Light"/>
          <w:b/>
          <w:bCs/>
          <w:sz w:val="36"/>
          <w:szCs w:val="36"/>
          <w:rtl/>
        </w:rPr>
        <w:t xml:space="preserve"> والارتجالية</w:t>
      </w:r>
      <w:r w:rsidR="00487331" w:rsidRPr="003F279C">
        <w:rPr>
          <w:rFonts w:ascii="Dubai Light" w:hAnsi="Dubai Light" w:cs="Dubai Light"/>
          <w:b/>
          <w:bCs/>
          <w:sz w:val="36"/>
          <w:szCs w:val="36"/>
          <w:rtl/>
        </w:rPr>
        <w:t xml:space="preserve">، أو إعمال ما يُسميه إيزر "وضعية المواجهة"، </w:t>
      </w:r>
      <w:r w:rsidR="0036213D" w:rsidRPr="003F279C">
        <w:rPr>
          <w:rFonts w:ascii="Dubai Light" w:hAnsi="Dubai Light" w:cs="Dubai Light"/>
          <w:b/>
          <w:bCs/>
          <w:sz w:val="36"/>
          <w:szCs w:val="36"/>
          <w:rtl/>
        </w:rPr>
        <w:t>وعلى غرار، كل هذه الأشياء التي أشرنا إليها آنفاً، تبقى القراءة شرط وجودٍ وفعلٍ، كما أنّها تتقاطع مع "ذاتيّة" القارئ ومرجعياته النّظرية.</w:t>
      </w:r>
    </w:p>
    <w:p w:rsidR="0083104E" w:rsidRDefault="0083104E" w:rsidP="0083104E">
      <w:pPr>
        <w:bidi/>
        <w:spacing w:line="240" w:lineRule="auto"/>
        <w:jc w:val="both"/>
        <w:rPr>
          <w:rFonts w:asciiTheme="majorBidi" w:hAnsiTheme="majorBidi" w:cstheme="majorBidi"/>
          <w:b/>
          <w:bCs/>
          <w:sz w:val="40"/>
          <w:szCs w:val="40"/>
          <w:rtl/>
        </w:rPr>
      </w:pPr>
      <w:r w:rsidRPr="0083104E">
        <w:rPr>
          <w:rFonts w:asciiTheme="majorBidi" w:hAnsiTheme="majorBidi" w:cstheme="majorBidi"/>
          <w:b/>
          <w:bCs/>
          <w:sz w:val="40"/>
          <w:szCs w:val="40"/>
          <w:rtl/>
        </w:rPr>
        <w:t>- تركيب:</w:t>
      </w:r>
    </w:p>
    <w:p w:rsidR="0083104E" w:rsidRPr="0083104E" w:rsidRDefault="0083104E" w:rsidP="0083104E">
      <w:pPr>
        <w:bidi/>
        <w:spacing w:line="240" w:lineRule="auto"/>
        <w:jc w:val="both"/>
        <w:rPr>
          <w:rFonts w:ascii="Dubai Light" w:hAnsi="Dubai Light" w:cs="Dubai Light"/>
          <w:b/>
          <w:bCs/>
          <w:sz w:val="32"/>
          <w:szCs w:val="32"/>
          <w:rtl/>
        </w:rPr>
      </w:pPr>
      <w:r>
        <w:rPr>
          <w:rFonts w:asciiTheme="majorBidi" w:hAnsiTheme="majorBidi" w:cstheme="majorBidi" w:hint="cs"/>
          <w:b/>
          <w:bCs/>
          <w:sz w:val="40"/>
          <w:szCs w:val="40"/>
          <w:rtl/>
        </w:rPr>
        <w:t xml:space="preserve">    </w:t>
      </w:r>
      <w:r w:rsidRPr="0083104E">
        <w:rPr>
          <w:rFonts w:ascii="Dubai Light" w:hAnsi="Dubai Light" w:cs="Dubai Light"/>
          <w:b/>
          <w:bCs/>
          <w:sz w:val="32"/>
          <w:szCs w:val="32"/>
          <w:rtl/>
        </w:rPr>
        <w:t xml:space="preserve">إن </w:t>
      </w:r>
      <w:r>
        <w:rPr>
          <w:rFonts w:ascii="Dubai Light" w:hAnsi="Dubai Light" w:cs="Dubai Light" w:hint="cs"/>
          <w:b/>
          <w:bCs/>
          <w:sz w:val="32"/>
          <w:szCs w:val="32"/>
          <w:rtl/>
        </w:rPr>
        <w:t>الوعي بقيمة المنهج في دراسة العمل الأدبي، لا يعني الاستغناء على النصوص، بل ثمة علاقة تكامل بين المنهج والنصوص، لذا، فالقراءة الواعية هي تضع في الاعتبار هذه العلاقة حتى نتمكن من مقاربة الأثر الأدبي مقاربة علمية خاضعة للمفاهيم والتصورات حول الأدب والنقد.</w:t>
      </w:r>
    </w:p>
    <w:p w:rsidR="008B4E68" w:rsidRDefault="009815B7" w:rsidP="008B4E68">
      <w:pPr>
        <w:bidi/>
        <w:spacing w:line="240" w:lineRule="auto"/>
        <w:jc w:val="both"/>
        <w:rPr>
          <w:rFonts w:ascii="Arabic Typesetting" w:hAnsi="Arabic Typesetting" w:cs="Arabic Typesetting"/>
          <w:b/>
          <w:bCs/>
          <w:sz w:val="48"/>
          <w:szCs w:val="48"/>
          <w:rtl/>
        </w:rPr>
      </w:pPr>
      <w:r>
        <w:rPr>
          <w:rFonts w:ascii="Arabic Typesetting" w:hAnsi="Arabic Typesetting" w:cs="Arabic Typesetting"/>
          <w:b/>
          <w:bCs/>
          <w:sz w:val="48"/>
          <w:szCs w:val="48"/>
        </w:rPr>
        <w:pict>
          <v:rect id="_x0000_i1025" style="width:0;height:1.5pt" o:hralign="center" o:hrstd="t" o:hr="t" fillcolor="#a0a0a0" stroked="f"/>
        </w:pict>
      </w:r>
    </w:p>
    <w:p w:rsidR="00930923" w:rsidRDefault="00930923" w:rsidP="00EA7C18">
      <w:pPr>
        <w:pStyle w:val="Notedebasdepage"/>
        <w:bidi/>
        <w:jc w:val="both"/>
        <w:rPr>
          <w:rFonts w:asciiTheme="majorBidi" w:hAnsiTheme="majorBidi" w:cstheme="majorBidi" w:hint="cs"/>
          <w:b/>
          <w:bCs/>
          <w:sz w:val="32"/>
          <w:szCs w:val="32"/>
          <w:u w:val="single"/>
          <w:rtl/>
        </w:rPr>
      </w:pPr>
    </w:p>
    <w:p w:rsidR="00930923" w:rsidRDefault="00930923" w:rsidP="00930923">
      <w:pPr>
        <w:pStyle w:val="Notedebasdepage"/>
        <w:bidi/>
        <w:jc w:val="both"/>
        <w:rPr>
          <w:rFonts w:asciiTheme="majorBidi" w:hAnsiTheme="majorBidi" w:cstheme="majorBidi" w:hint="cs"/>
          <w:b/>
          <w:bCs/>
          <w:sz w:val="32"/>
          <w:szCs w:val="32"/>
          <w:u w:val="single"/>
          <w:rtl/>
        </w:rPr>
      </w:pPr>
    </w:p>
    <w:p w:rsidR="00930923" w:rsidRDefault="00930923" w:rsidP="00930923">
      <w:pPr>
        <w:pStyle w:val="Notedebasdepage"/>
        <w:bidi/>
        <w:jc w:val="both"/>
        <w:rPr>
          <w:rFonts w:asciiTheme="majorBidi" w:hAnsiTheme="majorBidi" w:cstheme="majorBidi" w:hint="cs"/>
          <w:b/>
          <w:bCs/>
          <w:sz w:val="32"/>
          <w:szCs w:val="32"/>
          <w:u w:val="single"/>
          <w:rtl/>
        </w:rPr>
      </w:pPr>
    </w:p>
    <w:p w:rsidR="00930923" w:rsidRDefault="00930923" w:rsidP="00930923">
      <w:pPr>
        <w:pStyle w:val="Notedebasdepage"/>
        <w:bidi/>
        <w:jc w:val="both"/>
        <w:rPr>
          <w:rFonts w:asciiTheme="majorBidi" w:hAnsiTheme="majorBidi" w:cstheme="majorBidi" w:hint="cs"/>
          <w:b/>
          <w:bCs/>
          <w:sz w:val="32"/>
          <w:szCs w:val="32"/>
          <w:u w:val="single"/>
          <w:rtl/>
        </w:rPr>
      </w:pPr>
    </w:p>
    <w:p w:rsidR="00930923" w:rsidRDefault="00930923" w:rsidP="00930923">
      <w:pPr>
        <w:pStyle w:val="Notedebasdepage"/>
        <w:bidi/>
        <w:jc w:val="both"/>
        <w:rPr>
          <w:rFonts w:asciiTheme="majorBidi" w:hAnsiTheme="majorBidi" w:cstheme="majorBidi" w:hint="cs"/>
          <w:b/>
          <w:bCs/>
          <w:sz w:val="32"/>
          <w:szCs w:val="32"/>
          <w:u w:val="single"/>
          <w:rtl/>
        </w:rPr>
      </w:pPr>
    </w:p>
    <w:p w:rsidR="00930923" w:rsidRDefault="00930923" w:rsidP="00930923">
      <w:pPr>
        <w:pStyle w:val="Notedebasdepage"/>
        <w:bidi/>
        <w:jc w:val="both"/>
        <w:rPr>
          <w:rFonts w:asciiTheme="majorBidi" w:hAnsiTheme="majorBidi" w:cstheme="majorBidi" w:hint="cs"/>
          <w:b/>
          <w:bCs/>
          <w:sz w:val="32"/>
          <w:szCs w:val="32"/>
          <w:u w:val="single"/>
          <w:rtl/>
        </w:rPr>
      </w:pPr>
    </w:p>
    <w:p w:rsidR="00930923" w:rsidRDefault="00930923" w:rsidP="00930923">
      <w:pPr>
        <w:pStyle w:val="Notedebasdepage"/>
        <w:bidi/>
        <w:jc w:val="both"/>
        <w:rPr>
          <w:rFonts w:asciiTheme="majorBidi" w:hAnsiTheme="majorBidi" w:cstheme="majorBidi" w:hint="cs"/>
          <w:b/>
          <w:bCs/>
          <w:sz w:val="32"/>
          <w:szCs w:val="32"/>
          <w:u w:val="single"/>
          <w:rtl/>
        </w:rPr>
      </w:pPr>
    </w:p>
    <w:p w:rsidR="00930923" w:rsidRDefault="00930923" w:rsidP="00930923">
      <w:pPr>
        <w:pStyle w:val="Notedebasdepage"/>
        <w:bidi/>
        <w:jc w:val="both"/>
        <w:rPr>
          <w:rFonts w:asciiTheme="majorBidi" w:hAnsiTheme="majorBidi" w:cstheme="majorBidi" w:hint="cs"/>
          <w:b/>
          <w:bCs/>
          <w:sz w:val="32"/>
          <w:szCs w:val="32"/>
          <w:u w:val="single"/>
          <w:rtl/>
        </w:rPr>
      </w:pPr>
    </w:p>
    <w:p w:rsidR="00930923" w:rsidRDefault="00930923" w:rsidP="00930923">
      <w:pPr>
        <w:pStyle w:val="Notedebasdepage"/>
        <w:bidi/>
        <w:jc w:val="both"/>
        <w:rPr>
          <w:rFonts w:asciiTheme="majorBidi" w:hAnsiTheme="majorBidi" w:cstheme="majorBidi" w:hint="cs"/>
          <w:b/>
          <w:bCs/>
          <w:sz w:val="32"/>
          <w:szCs w:val="32"/>
          <w:u w:val="single"/>
          <w:rtl/>
        </w:rPr>
      </w:pPr>
    </w:p>
    <w:p w:rsidR="008759C1" w:rsidRDefault="007B04BD" w:rsidP="00930923">
      <w:pPr>
        <w:pStyle w:val="Notedebasdepage"/>
        <w:bidi/>
        <w:jc w:val="both"/>
        <w:rPr>
          <w:rFonts w:ascii="Arabic Typesetting" w:hAnsi="Arabic Typesetting" w:cs="Arabic Typesetting"/>
          <w:b/>
          <w:bCs/>
          <w:sz w:val="32"/>
          <w:szCs w:val="32"/>
          <w:u w:val="single"/>
          <w:rtl/>
        </w:rPr>
      </w:pPr>
      <w:r w:rsidRPr="00210421">
        <w:rPr>
          <w:rFonts w:asciiTheme="majorBidi" w:hAnsiTheme="majorBidi" w:cstheme="majorBidi"/>
          <w:b/>
          <w:bCs/>
          <w:sz w:val="32"/>
          <w:szCs w:val="32"/>
          <w:u w:val="single"/>
          <w:rtl/>
        </w:rPr>
        <w:t>هوامش الدراسة</w:t>
      </w:r>
      <w:r w:rsidRPr="00210421">
        <w:rPr>
          <w:rFonts w:ascii="Arabic Typesetting" w:hAnsi="Arabic Typesetting" w:cs="Arabic Typesetting" w:hint="cs"/>
          <w:b/>
          <w:bCs/>
          <w:sz w:val="32"/>
          <w:szCs w:val="32"/>
          <w:u w:val="single"/>
          <w:rtl/>
        </w:rPr>
        <w:t>:</w:t>
      </w:r>
    </w:p>
    <w:p w:rsidR="00210421" w:rsidRPr="00210421" w:rsidRDefault="00210421" w:rsidP="00210421">
      <w:pPr>
        <w:pStyle w:val="Notedebasdepage"/>
        <w:bidi/>
        <w:jc w:val="both"/>
        <w:rPr>
          <w:rFonts w:ascii="Arabic Typesetting" w:hAnsi="Arabic Typesetting" w:cs="Arabic Typesetting"/>
          <w:b/>
          <w:bCs/>
          <w:sz w:val="32"/>
          <w:szCs w:val="32"/>
          <w:u w:val="single"/>
          <w:rtl/>
        </w:rPr>
      </w:pPr>
    </w:p>
    <w:p w:rsidR="008759C1" w:rsidRDefault="00210421" w:rsidP="00210421">
      <w:pPr>
        <w:pStyle w:val="Notedebasdepage"/>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1</w:t>
      </w:r>
      <w:r w:rsidRPr="00387ED5">
        <w:rPr>
          <w:rFonts w:ascii="Simplified Arabic" w:hAnsi="Simplified Arabic" w:cs="Simplified Arabic"/>
          <w:b/>
          <w:bCs/>
          <w:sz w:val="24"/>
          <w:szCs w:val="24"/>
          <w:rtl/>
        </w:rPr>
        <w:t>- أبو الصفاء</w:t>
      </w:r>
      <w:r>
        <w:rPr>
          <w:rFonts w:ascii="Simplified Arabic" w:hAnsi="Simplified Arabic" w:cs="Simplified Arabic" w:hint="cs"/>
          <w:b/>
          <w:bCs/>
          <w:sz w:val="24"/>
          <w:szCs w:val="24"/>
          <w:rtl/>
          <w:lang w:bidi="ar-MA"/>
        </w:rPr>
        <w:t>، عبد الرحيم</w:t>
      </w:r>
      <w:r w:rsidRPr="00387ED5">
        <w:rPr>
          <w:rFonts w:ascii="Simplified Arabic" w:hAnsi="Simplified Arabic" w:cs="Simplified Arabic"/>
          <w:b/>
          <w:bCs/>
          <w:sz w:val="24"/>
          <w:szCs w:val="24"/>
          <w:rtl/>
        </w:rPr>
        <w:t>: حداثة التراث: شعرية التناص وجمالية التلقي (من انزياح النص إلى انزياح القراءة)، منشورات اتحاد كتاب المغرب،</w:t>
      </w:r>
      <w:r w:rsidR="00930923">
        <w:rPr>
          <w:rFonts w:ascii="Simplified Arabic" w:hAnsi="Simplified Arabic" w:cs="Simplified Arabic" w:hint="cs"/>
          <w:b/>
          <w:bCs/>
          <w:sz w:val="24"/>
          <w:szCs w:val="24"/>
          <w:rtl/>
        </w:rPr>
        <w:t xml:space="preserve"> ص: 13،</w:t>
      </w:r>
      <w:r w:rsidRPr="00387ED5">
        <w:rPr>
          <w:rFonts w:ascii="Simplified Arabic" w:hAnsi="Simplified Arabic" w:cs="Simplified Arabic"/>
          <w:b/>
          <w:bCs/>
          <w:sz w:val="24"/>
          <w:szCs w:val="24"/>
          <w:rtl/>
        </w:rPr>
        <w:t xml:space="preserve"> ط 1، 2013</w:t>
      </w:r>
      <w:r>
        <w:rPr>
          <w:rFonts w:ascii="Simplified Arabic" w:hAnsi="Simplified Arabic" w:cs="Simplified Arabic" w:hint="cs"/>
          <w:b/>
          <w:bCs/>
          <w:sz w:val="24"/>
          <w:szCs w:val="24"/>
          <w:rtl/>
        </w:rPr>
        <w:t>.</w:t>
      </w:r>
    </w:p>
    <w:p w:rsidR="00210421" w:rsidRPr="001B4823" w:rsidRDefault="00210421" w:rsidP="00210421">
      <w:pPr>
        <w:pStyle w:val="Notedebasdepage"/>
        <w:bidi/>
        <w:jc w:val="both"/>
        <w:rPr>
          <w:rtl/>
        </w:rPr>
      </w:pPr>
      <w:r>
        <w:rPr>
          <w:rFonts w:ascii="Simplified Arabic" w:hAnsi="Simplified Arabic" w:cs="Simplified Arabic" w:hint="cs"/>
          <w:b/>
          <w:bCs/>
          <w:sz w:val="24"/>
          <w:szCs w:val="24"/>
          <w:rtl/>
        </w:rPr>
        <w:t>2</w:t>
      </w:r>
      <w:r w:rsidRPr="00387ED5">
        <w:rPr>
          <w:rFonts w:ascii="Simplified Arabic" w:hAnsi="Simplified Arabic" w:cs="Simplified Arabic"/>
          <w:b/>
          <w:bCs/>
          <w:sz w:val="24"/>
          <w:szCs w:val="24"/>
          <w:rtl/>
        </w:rPr>
        <w:t>- هولب</w:t>
      </w:r>
      <w:r>
        <w:rPr>
          <w:rFonts w:ascii="Simplified Arabic" w:hAnsi="Simplified Arabic" w:cs="Simplified Arabic" w:hint="cs"/>
          <w:b/>
          <w:bCs/>
          <w:sz w:val="24"/>
          <w:szCs w:val="24"/>
          <w:rtl/>
        </w:rPr>
        <w:t>، روبرت</w:t>
      </w:r>
      <w:r w:rsidRPr="00387ED5">
        <w:rPr>
          <w:rFonts w:ascii="Simplified Arabic" w:hAnsi="Simplified Arabic" w:cs="Simplified Arabic"/>
          <w:b/>
          <w:bCs/>
          <w:sz w:val="24"/>
          <w:szCs w:val="24"/>
          <w:rtl/>
        </w:rPr>
        <w:t>: نظرية التلقي، مقدمة نقدية، ترجمة: عز الدين اسماعيل، منشورات النادي  الأدبي الثقافي جدة،</w:t>
      </w:r>
      <w:r w:rsidR="00930923">
        <w:rPr>
          <w:rFonts w:ascii="Simplified Arabic" w:hAnsi="Simplified Arabic" w:cs="Simplified Arabic" w:hint="cs"/>
          <w:b/>
          <w:bCs/>
          <w:sz w:val="24"/>
          <w:szCs w:val="24"/>
          <w:rtl/>
        </w:rPr>
        <w:t xml:space="preserve"> ص:254،</w:t>
      </w:r>
      <w:r w:rsidRPr="00387ED5">
        <w:rPr>
          <w:rFonts w:ascii="Simplified Arabic" w:hAnsi="Simplified Arabic" w:cs="Simplified Arabic"/>
          <w:b/>
          <w:bCs/>
          <w:sz w:val="24"/>
          <w:szCs w:val="24"/>
          <w:rtl/>
        </w:rPr>
        <w:t xml:space="preserve"> ط 1، 1994</w:t>
      </w:r>
      <w:r>
        <w:rPr>
          <w:rFonts w:ascii="Simplified Arabic" w:hAnsi="Simplified Arabic" w:cs="Simplified Arabic" w:hint="cs"/>
          <w:b/>
          <w:bCs/>
          <w:sz w:val="24"/>
          <w:szCs w:val="24"/>
          <w:rtl/>
        </w:rPr>
        <w:t>.</w:t>
      </w:r>
      <w:r w:rsidRPr="00387ED5">
        <w:rPr>
          <w:rFonts w:ascii="Simplified Arabic" w:hAnsi="Simplified Arabic" w:cs="Simplified Arabic"/>
          <w:b/>
          <w:bCs/>
          <w:sz w:val="24"/>
          <w:szCs w:val="24"/>
        </w:rPr>
        <w:t xml:space="preserve"> </w:t>
      </w:r>
    </w:p>
    <w:p w:rsidR="00210421" w:rsidRPr="00A66452" w:rsidRDefault="00210421" w:rsidP="00210421">
      <w:pPr>
        <w:pStyle w:val="Notedebasdepage"/>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3</w:t>
      </w:r>
      <w:r w:rsidRPr="00A66452">
        <w:rPr>
          <w:rFonts w:ascii="Simplified Arabic" w:hAnsi="Simplified Arabic" w:cs="Simplified Arabic"/>
          <w:b/>
          <w:bCs/>
          <w:sz w:val="24"/>
          <w:szCs w:val="24"/>
          <w:rtl/>
        </w:rPr>
        <w:t>- عصفور</w:t>
      </w:r>
      <w:r>
        <w:rPr>
          <w:rFonts w:ascii="Simplified Arabic" w:hAnsi="Simplified Arabic" w:cs="Simplified Arabic" w:hint="cs"/>
          <w:b/>
          <w:bCs/>
          <w:sz w:val="24"/>
          <w:szCs w:val="24"/>
          <w:rtl/>
        </w:rPr>
        <w:t xml:space="preserve">، </w:t>
      </w:r>
      <w:proofErr w:type="gramStart"/>
      <w:r>
        <w:rPr>
          <w:rFonts w:ascii="Simplified Arabic" w:hAnsi="Simplified Arabic" w:cs="Simplified Arabic" w:hint="cs"/>
          <w:b/>
          <w:bCs/>
          <w:sz w:val="24"/>
          <w:szCs w:val="24"/>
          <w:rtl/>
        </w:rPr>
        <w:t>جابر</w:t>
      </w:r>
      <w:proofErr w:type="gramEnd"/>
      <w:r w:rsidRPr="00A66452">
        <w:rPr>
          <w:rFonts w:ascii="Simplified Arabic" w:hAnsi="Simplified Arabic" w:cs="Simplified Arabic"/>
          <w:b/>
          <w:bCs/>
          <w:sz w:val="24"/>
          <w:szCs w:val="24"/>
          <w:rtl/>
        </w:rPr>
        <w:t>: قراءة التراث النقدي، الهيئة المصرية العامة للكتاب،</w:t>
      </w:r>
      <w:r w:rsidR="00930923">
        <w:rPr>
          <w:rFonts w:ascii="Simplified Arabic" w:hAnsi="Simplified Arabic" w:cs="Simplified Arabic" w:hint="cs"/>
          <w:b/>
          <w:bCs/>
          <w:sz w:val="24"/>
          <w:szCs w:val="24"/>
          <w:rtl/>
        </w:rPr>
        <w:t xml:space="preserve"> ص: 16-17، </w:t>
      </w:r>
      <w:r w:rsidRPr="00A66452">
        <w:rPr>
          <w:rFonts w:ascii="Simplified Arabic" w:hAnsi="Simplified Arabic" w:cs="Simplified Arabic"/>
          <w:b/>
          <w:bCs/>
          <w:sz w:val="24"/>
          <w:szCs w:val="24"/>
          <w:rtl/>
        </w:rPr>
        <w:t xml:space="preserve"> ط 2، 2019.</w:t>
      </w:r>
      <w:r w:rsidRPr="00A66452">
        <w:rPr>
          <w:rFonts w:ascii="Simplified Arabic" w:hAnsi="Simplified Arabic" w:cs="Simplified Arabic"/>
          <w:b/>
          <w:bCs/>
          <w:sz w:val="24"/>
          <w:szCs w:val="24"/>
        </w:rPr>
        <w:t xml:space="preserve"> </w:t>
      </w:r>
    </w:p>
    <w:p w:rsidR="00210421" w:rsidRDefault="00210421" w:rsidP="00210421">
      <w:pPr>
        <w:pStyle w:val="Notedebasdepage"/>
        <w:bidi/>
        <w:jc w:val="both"/>
        <w:rPr>
          <w:rtl/>
        </w:rPr>
      </w:pPr>
      <w:r>
        <w:rPr>
          <w:rFonts w:ascii="Simplified Arabic" w:hAnsi="Simplified Arabic" w:cs="Simplified Arabic" w:hint="cs"/>
          <w:b/>
          <w:bCs/>
          <w:sz w:val="24"/>
          <w:szCs w:val="24"/>
          <w:rtl/>
        </w:rPr>
        <w:t>4</w:t>
      </w:r>
      <w:r w:rsidRPr="00A66452">
        <w:rPr>
          <w:rFonts w:ascii="Simplified Arabic" w:hAnsi="Simplified Arabic" w:cs="Simplified Arabic"/>
          <w:b/>
          <w:bCs/>
          <w:sz w:val="24"/>
          <w:szCs w:val="24"/>
          <w:rtl/>
        </w:rPr>
        <w:t>- عمراوي</w:t>
      </w:r>
      <w:r>
        <w:rPr>
          <w:rFonts w:ascii="Simplified Arabic" w:hAnsi="Simplified Arabic" w:cs="Simplified Arabic" w:hint="cs"/>
          <w:b/>
          <w:bCs/>
          <w:sz w:val="24"/>
          <w:szCs w:val="24"/>
          <w:rtl/>
        </w:rPr>
        <w:t>، عبد الخالق</w:t>
      </w:r>
      <w:r w:rsidRPr="00A66452">
        <w:rPr>
          <w:rFonts w:ascii="Simplified Arabic" w:hAnsi="Simplified Arabic" w:cs="Simplified Arabic"/>
          <w:b/>
          <w:bCs/>
          <w:sz w:val="24"/>
          <w:szCs w:val="24"/>
          <w:rtl/>
        </w:rPr>
        <w:t>: الذاكرة ملاذ السرد، قراءة في ثلاثية أحلام مستغانمي،</w:t>
      </w:r>
      <w:r w:rsidR="00930923">
        <w:rPr>
          <w:rFonts w:ascii="Simplified Arabic" w:hAnsi="Simplified Arabic" w:cs="Simplified Arabic" w:hint="cs"/>
          <w:b/>
          <w:bCs/>
          <w:sz w:val="24"/>
          <w:szCs w:val="24"/>
          <w:rtl/>
        </w:rPr>
        <w:t xml:space="preserve"> ص: 07، </w:t>
      </w:r>
      <w:r w:rsidRPr="00A66452">
        <w:rPr>
          <w:rFonts w:ascii="Simplified Arabic" w:hAnsi="Simplified Arabic" w:cs="Simplified Arabic"/>
          <w:b/>
          <w:bCs/>
          <w:sz w:val="24"/>
          <w:szCs w:val="24"/>
          <w:rtl/>
        </w:rPr>
        <w:t xml:space="preserve"> ط 1، يوليوز 2017</w:t>
      </w:r>
      <w:r>
        <w:rPr>
          <w:rFonts w:ascii="Simplified Arabic" w:hAnsi="Simplified Arabic" w:cs="Simplified Arabic" w:hint="cs"/>
          <w:b/>
          <w:bCs/>
          <w:sz w:val="24"/>
          <w:szCs w:val="24"/>
          <w:rtl/>
        </w:rPr>
        <w:t>.</w:t>
      </w:r>
    </w:p>
    <w:p w:rsidR="00210421" w:rsidRPr="00210421" w:rsidRDefault="00210421" w:rsidP="00210421">
      <w:pPr>
        <w:pStyle w:val="Notedebasdepage"/>
        <w:bidi/>
        <w:jc w:val="both"/>
        <w:rPr>
          <w:rtl/>
        </w:rPr>
      </w:pPr>
      <w:r>
        <w:rPr>
          <w:rFonts w:hint="cs"/>
          <w:b/>
          <w:bCs/>
          <w:sz w:val="24"/>
          <w:szCs w:val="24"/>
          <w:rtl/>
        </w:rPr>
        <w:t>5</w:t>
      </w:r>
      <w:r>
        <w:rPr>
          <w:rFonts w:hint="cs"/>
          <w:rtl/>
        </w:rPr>
        <w:t>-</w:t>
      </w:r>
      <w:r w:rsidRPr="00A66452">
        <w:rPr>
          <w:rFonts w:ascii="Simplified Arabic" w:hAnsi="Simplified Arabic" w:cs="Simplified Arabic"/>
          <w:b/>
          <w:bCs/>
          <w:sz w:val="24"/>
          <w:szCs w:val="24"/>
          <w:rtl/>
        </w:rPr>
        <w:t xml:space="preserve"> عدناني</w:t>
      </w:r>
      <w:r>
        <w:rPr>
          <w:rFonts w:ascii="Simplified Arabic" w:hAnsi="Simplified Arabic" w:cs="Simplified Arabic" w:hint="cs"/>
          <w:b/>
          <w:bCs/>
          <w:sz w:val="24"/>
          <w:szCs w:val="24"/>
          <w:rtl/>
        </w:rPr>
        <w:t>، محمد</w:t>
      </w:r>
      <w:r w:rsidRPr="00A66452">
        <w:rPr>
          <w:rFonts w:ascii="Simplified Arabic" w:hAnsi="Simplified Arabic" w:cs="Simplified Arabic"/>
          <w:b/>
          <w:bCs/>
          <w:sz w:val="24"/>
          <w:szCs w:val="24"/>
          <w:rtl/>
        </w:rPr>
        <w:t xml:space="preserve">: حدود العلمية في تدوين الشعر العربي القديم ونقده، مجلة البلاغة والنقد الأدبي، العدد المزدوج 4/5، </w:t>
      </w:r>
      <w:r w:rsidR="00930923">
        <w:rPr>
          <w:rFonts w:ascii="Simplified Arabic" w:hAnsi="Simplified Arabic" w:cs="Simplified Arabic" w:hint="cs"/>
          <w:b/>
          <w:bCs/>
          <w:sz w:val="24"/>
          <w:szCs w:val="24"/>
          <w:rtl/>
        </w:rPr>
        <w:t xml:space="preserve">ص:81، </w:t>
      </w:r>
      <w:r w:rsidRPr="00A66452">
        <w:rPr>
          <w:rFonts w:ascii="Simplified Arabic" w:hAnsi="Simplified Arabic" w:cs="Simplified Arabic"/>
          <w:b/>
          <w:bCs/>
          <w:sz w:val="24"/>
          <w:szCs w:val="24"/>
          <w:rtl/>
        </w:rPr>
        <w:t>خريف/ شتاء 2015</w:t>
      </w:r>
      <w:r>
        <w:rPr>
          <w:rFonts w:ascii="Simplified Arabic" w:hAnsi="Simplified Arabic" w:cs="Simplified Arabic" w:hint="cs"/>
          <w:b/>
          <w:bCs/>
          <w:sz w:val="24"/>
          <w:szCs w:val="24"/>
          <w:rtl/>
        </w:rPr>
        <w:t>.</w:t>
      </w:r>
    </w:p>
    <w:p w:rsidR="00EA7C18" w:rsidRPr="00000903" w:rsidRDefault="00210421" w:rsidP="00210421">
      <w:pPr>
        <w:pStyle w:val="Notedebasdepage"/>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6</w:t>
      </w:r>
      <w:r w:rsidR="00EA7C18" w:rsidRPr="00000903">
        <w:rPr>
          <w:rFonts w:ascii="Simplified Arabic" w:hAnsi="Simplified Arabic" w:cs="Simplified Arabic"/>
          <w:b/>
          <w:bCs/>
          <w:sz w:val="24"/>
          <w:szCs w:val="24"/>
          <w:rtl/>
        </w:rPr>
        <w:t>- مخافي</w:t>
      </w:r>
      <w:r>
        <w:rPr>
          <w:rFonts w:ascii="Simplified Arabic" w:hAnsi="Simplified Arabic" w:cs="Simplified Arabic" w:hint="cs"/>
          <w:b/>
          <w:bCs/>
          <w:sz w:val="24"/>
          <w:szCs w:val="24"/>
          <w:rtl/>
        </w:rPr>
        <w:t>، حسن</w:t>
      </w:r>
      <w:r w:rsidR="00EA7C18" w:rsidRPr="00000903">
        <w:rPr>
          <w:rFonts w:ascii="Simplified Arabic" w:hAnsi="Simplified Arabic" w:cs="Simplified Arabic"/>
          <w:b/>
          <w:bCs/>
          <w:sz w:val="24"/>
          <w:szCs w:val="24"/>
          <w:rtl/>
        </w:rPr>
        <w:t>: المفهوم والمناهج في القراءات العربية المعاصرة للتراث النقدي، أفريقيا الشرق،</w:t>
      </w:r>
      <w:r w:rsidR="00930923">
        <w:rPr>
          <w:rFonts w:ascii="Simplified Arabic" w:hAnsi="Simplified Arabic" w:cs="Simplified Arabic" w:hint="cs"/>
          <w:b/>
          <w:bCs/>
          <w:sz w:val="24"/>
          <w:szCs w:val="24"/>
          <w:rtl/>
        </w:rPr>
        <w:t xml:space="preserve"> ص: 87، </w:t>
      </w:r>
      <w:bookmarkStart w:id="0" w:name="_GoBack"/>
      <w:bookmarkEnd w:id="0"/>
      <w:r w:rsidR="00EA7C18" w:rsidRPr="00000903">
        <w:rPr>
          <w:rFonts w:ascii="Simplified Arabic" w:hAnsi="Simplified Arabic" w:cs="Simplified Arabic"/>
          <w:b/>
          <w:bCs/>
          <w:sz w:val="24"/>
          <w:szCs w:val="24"/>
          <w:rtl/>
        </w:rPr>
        <w:t xml:space="preserve"> ط 1، 2016</w:t>
      </w:r>
      <w:r>
        <w:rPr>
          <w:rFonts w:ascii="Simplified Arabic" w:hAnsi="Simplified Arabic" w:cs="Simplified Arabic" w:hint="cs"/>
          <w:b/>
          <w:bCs/>
          <w:sz w:val="24"/>
          <w:szCs w:val="24"/>
          <w:rtl/>
        </w:rPr>
        <w:t>.</w:t>
      </w:r>
    </w:p>
    <w:p w:rsidR="009177FF" w:rsidRPr="00A66452" w:rsidRDefault="009177FF" w:rsidP="00314894">
      <w:pPr>
        <w:bidi/>
        <w:spacing w:line="240" w:lineRule="auto"/>
        <w:jc w:val="both"/>
        <w:rPr>
          <w:rFonts w:ascii="Simplified Arabic" w:hAnsi="Simplified Arabic" w:cs="Simplified Arabic"/>
          <w:sz w:val="48"/>
          <w:szCs w:val="48"/>
          <w:rtl/>
        </w:rPr>
      </w:pPr>
    </w:p>
    <w:sectPr w:rsidR="009177FF" w:rsidRPr="00A66452" w:rsidSect="00B3417E">
      <w:footnotePr>
        <w:numRestart w:val="eachPage"/>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5B7" w:rsidRDefault="009815B7" w:rsidP="00765E46">
      <w:pPr>
        <w:spacing w:after="0" w:line="240" w:lineRule="auto"/>
      </w:pPr>
      <w:r>
        <w:separator/>
      </w:r>
    </w:p>
  </w:endnote>
  <w:endnote w:type="continuationSeparator" w:id="0">
    <w:p w:rsidR="009815B7" w:rsidRDefault="009815B7" w:rsidP="007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ubai Medium">
    <w:panose1 w:val="020B0603030403030204"/>
    <w:charset w:val="00"/>
    <w:family w:val="swiss"/>
    <w:pitch w:val="variable"/>
    <w:sig w:usb0="80002067"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Dubai Light">
    <w:panose1 w:val="020B0303030403030204"/>
    <w:charset w:val="00"/>
    <w:family w:val="swiss"/>
    <w:pitch w:val="variable"/>
    <w:sig w:usb0="80002067"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5B7" w:rsidRDefault="009815B7" w:rsidP="00000903">
      <w:pPr>
        <w:bidi/>
        <w:spacing w:after="0" w:line="240" w:lineRule="auto"/>
      </w:pPr>
      <w:r>
        <w:separator/>
      </w:r>
    </w:p>
  </w:footnote>
  <w:footnote w:type="continuationSeparator" w:id="0">
    <w:p w:rsidR="009815B7" w:rsidRDefault="009815B7" w:rsidP="00765E46">
      <w:pPr>
        <w:spacing w:after="0" w:line="240" w:lineRule="auto"/>
      </w:pPr>
      <w:r>
        <w:continuationSeparator/>
      </w:r>
    </w:p>
  </w:footnote>
  <w:footnote w:id="1">
    <w:p w:rsidR="00AC011C" w:rsidRPr="00000903" w:rsidRDefault="00AC011C" w:rsidP="00930923">
      <w:pPr>
        <w:pStyle w:val="Notedebasdepage"/>
        <w:bidi/>
        <w:jc w:val="both"/>
        <w:rPr>
          <w:rFonts w:ascii="Simplified Arabic" w:hAnsi="Simplified Arabic" w:cs="Simplified Arabic"/>
          <w:b/>
          <w:bCs/>
          <w:sz w:val="24"/>
          <w:szCs w:val="24"/>
          <w:rtl/>
        </w:rPr>
      </w:pPr>
      <w:r>
        <w:rPr>
          <w:rFonts w:hint="cs"/>
          <w:rtl/>
        </w:rPr>
        <w:t>1-</w:t>
      </w:r>
      <w:r w:rsidRPr="00AC011C">
        <w:rPr>
          <w:rFonts w:ascii="Simplified Arabic" w:hAnsi="Simplified Arabic" w:cs="Simplified Arabic"/>
          <w:b/>
          <w:bCs/>
          <w:sz w:val="24"/>
          <w:szCs w:val="24"/>
          <w:rtl/>
        </w:rPr>
        <w:t xml:space="preserve"> </w:t>
      </w:r>
      <w:r w:rsidRPr="00000903">
        <w:rPr>
          <w:rFonts w:ascii="Simplified Arabic" w:hAnsi="Simplified Arabic" w:cs="Simplified Arabic"/>
          <w:b/>
          <w:bCs/>
          <w:sz w:val="24"/>
          <w:szCs w:val="24"/>
          <w:rtl/>
        </w:rPr>
        <w:t>حسن مخافي: المفهوم والمناهج في القراءات العربية المعاصرة للتراث النقدي،</w:t>
      </w:r>
      <w:r w:rsidR="00930923">
        <w:rPr>
          <w:rFonts w:ascii="Simplified Arabic" w:hAnsi="Simplified Arabic" w:cs="Simplified Arabic" w:hint="cs"/>
          <w:b/>
          <w:bCs/>
          <w:sz w:val="24"/>
          <w:szCs w:val="24"/>
          <w:rtl/>
          <w:lang w:bidi="ar-MA"/>
        </w:rPr>
        <w:t xml:space="preserve"> ص: 87،</w:t>
      </w:r>
      <w:r w:rsidRPr="00000903">
        <w:rPr>
          <w:rFonts w:ascii="Simplified Arabic" w:hAnsi="Simplified Arabic" w:cs="Simplified Arabic"/>
          <w:b/>
          <w:bCs/>
          <w:sz w:val="24"/>
          <w:szCs w:val="24"/>
          <w:rtl/>
        </w:rPr>
        <w:t xml:space="preserve"> أفريقيا الشرق، ط 1، 2016</w:t>
      </w:r>
      <w:r w:rsidR="00930923">
        <w:rPr>
          <w:rFonts w:ascii="Simplified Arabic" w:hAnsi="Simplified Arabic" w:cs="Simplified Arabic" w:hint="cs"/>
          <w:b/>
          <w:bCs/>
          <w:sz w:val="24"/>
          <w:szCs w:val="24"/>
          <w:rtl/>
        </w:rPr>
        <w:t>.</w:t>
      </w:r>
    </w:p>
    <w:p w:rsidR="00AC011C" w:rsidRDefault="00AC011C" w:rsidP="00AC011C">
      <w:pPr>
        <w:pStyle w:val="Notedebasdepage"/>
        <w:jc w:val="right"/>
        <w:rPr>
          <w:rtl/>
          <w:lang w:bidi="ar-MA"/>
        </w:rPr>
      </w:pPr>
      <w:r>
        <w:rPr>
          <w:rFonts w:hint="cs"/>
          <w:rtl/>
        </w:rPr>
        <w:t xml:space="preserve"> </w:t>
      </w:r>
    </w:p>
  </w:footnote>
  <w:footnote w:id="2">
    <w:p w:rsidR="00AC011C" w:rsidRPr="00AC011C" w:rsidRDefault="00AC011C" w:rsidP="00930923">
      <w:pPr>
        <w:pStyle w:val="Notedebasdepage"/>
        <w:bidi/>
        <w:jc w:val="both"/>
        <w:rPr>
          <w:rFonts w:ascii="Simplified Arabic" w:hAnsi="Simplified Arabic" w:cs="Simplified Arabic"/>
          <w:b/>
          <w:bCs/>
          <w:sz w:val="24"/>
          <w:szCs w:val="24"/>
          <w:rtl/>
        </w:rPr>
      </w:pPr>
      <w:r>
        <w:rPr>
          <w:rFonts w:hint="cs"/>
          <w:rtl/>
        </w:rPr>
        <w:t>1-</w:t>
      </w:r>
      <w:r w:rsidRPr="00AC011C">
        <w:rPr>
          <w:rFonts w:ascii="Simplified Arabic" w:hAnsi="Simplified Arabic" w:cs="Simplified Arabic"/>
          <w:b/>
          <w:bCs/>
          <w:sz w:val="24"/>
          <w:szCs w:val="24"/>
          <w:rtl/>
        </w:rPr>
        <w:t xml:space="preserve"> </w:t>
      </w:r>
      <w:r w:rsidRPr="00A66452">
        <w:rPr>
          <w:rFonts w:ascii="Simplified Arabic" w:hAnsi="Simplified Arabic" w:cs="Simplified Arabic"/>
          <w:b/>
          <w:bCs/>
          <w:sz w:val="24"/>
          <w:szCs w:val="24"/>
          <w:rtl/>
        </w:rPr>
        <w:t xml:space="preserve">جابر عصفور: </w:t>
      </w:r>
      <w:proofErr w:type="gramStart"/>
      <w:r w:rsidRPr="00A66452">
        <w:rPr>
          <w:rFonts w:ascii="Simplified Arabic" w:hAnsi="Simplified Arabic" w:cs="Simplified Arabic"/>
          <w:b/>
          <w:bCs/>
          <w:sz w:val="24"/>
          <w:szCs w:val="24"/>
          <w:rtl/>
        </w:rPr>
        <w:t>قراءة</w:t>
      </w:r>
      <w:proofErr w:type="gramEnd"/>
      <w:r w:rsidRPr="00A66452">
        <w:rPr>
          <w:rFonts w:ascii="Simplified Arabic" w:hAnsi="Simplified Arabic" w:cs="Simplified Arabic"/>
          <w:b/>
          <w:bCs/>
          <w:sz w:val="24"/>
          <w:szCs w:val="24"/>
          <w:rtl/>
        </w:rPr>
        <w:t xml:space="preserve"> التراث النقدي،</w:t>
      </w:r>
      <w:r w:rsidR="00930923">
        <w:rPr>
          <w:rFonts w:ascii="Simplified Arabic" w:hAnsi="Simplified Arabic" w:cs="Simplified Arabic" w:hint="cs"/>
          <w:b/>
          <w:bCs/>
          <w:sz w:val="24"/>
          <w:szCs w:val="24"/>
          <w:rtl/>
        </w:rPr>
        <w:t xml:space="preserve"> ص، 16-17،</w:t>
      </w:r>
      <w:r w:rsidRPr="00A66452">
        <w:rPr>
          <w:rFonts w:ascii="Simplified Arabic" w:hAnsi="Simplified Arabic" w:cs="Simplified Arabic"/>
          <w:b/>
          <w:bCs/>
          <w:sz w:val="24"/>
          <w:szCs w:val="24"/>
          <w:rtl/>
        </w:rPr>
        <w:t xml:space="preserve"> الهيئة المصرية العامة للكتاب،</w:t>
      </w:r>
      <w:r w:rsidR="00930923">
        <w:rPr>
          <w:rFonts w:ascii="Simplified Arabic" w:hAnsi="Simplified Arabic" w:cs="Simplified Arabic" w:hint="cs"/>
          <w:b/>
          <w:bCs/>
          <w:sz w:val="24"/>
          <w:szCs w:val="24"/>
          <w:rtl/>
        </w:rPr>
        <w:t xml:space="preserve"> 2019، </w:t>
      </w:r>
      <w:r w:rsidRPr="00A66452">
        <w:rPr>
          <w:rFonts w:ascii="Simplified Arabic" w:hAnsi="Simplified Arabic" w:cs="Simplified Arabic"/>
          <w:b/>
          <w:bCs/>
          <w:sz w:val="24"/>
          <w:szCs w:val="24"/>
          <w:rtl/>
        </w:rPr>
        <w:t xml:space="preserve"> ط 2</w:t>
      </w:r>
      <w:r w:rsidR="00930923">
        <w:rPr>
          <w:rFonts w:ascii="Simplified Arabic" w:hAnsi="Simplified Arabic" w:cs="Simplified Arabic" w:hint="cs"/>
          <w:b/>
          <w:bCs/>
          <w:sz w:val="24"/>
          <w:szCs w:val="24"/>
          <w:rtl/>
        </w:rPr>
        <w:t>.</w:t>
      </w:r>
    </w:p>
  </w:footnote>
  <w:footnote w:id="3">
    <w:p w:rsidR="00AC011C" w:rsidRDefault="00AC011C" w:rsidP="00930923">
      <w:pPr>
        <w:pStyle w:val="Notedebasdepage"/>
        <w:jc w:val="right"/>
        <w:rPr>
          <w:rtl/>
          <w:lang w:bidi="ar-MA"/>
        </w:rPr>
      </w:pPr>
      <w:r>
        <w:rPr>
          <w:rFonts w:hint="cs"/>
          <w:rtl/>
        </w:rPr>
        <w:t>-</w:t>
      </w:r>
      <w:r w:rsidRPr="00AC011C">
        <w:rPr>
          <w:rFonts w:ascii="Simplified Arabic" w:hAnsi="Simplified Arabic" w:cs="Simplified Arabic"/>
          <w:b/>
          <w:bCs/>
          <w:sz w:val="24"/>
          <w:szCs w:val="24"/>
          <w:rtl/>
        </w:rPr>
        <w:t xml:space="preserve"> </w:t>
      </w:r>
      <w:r w:rsidRPr="00A66452">
        <w:rPr>
          <w:rFonts w:ascii="Simplified Arabic" w:hAnsi="Simplified Arabic" w:cs="Simplified Arabic"/>
          <w:b/>
          <w:bCs/>
          <w:sz w:val="24"/>
          <w:szCs w:val="24"/>
          <w:rtl/>
        </w:rPr>
        <w:t>عبد الخالق عمراوي: الذاكرة ملاذ السرد، قراءة في ثلاثية أحلام مستغانمي،</w:t>
      </w:r>
      <w:r w:rsidR="00930923">
        <w:rPr>
          <w:rFonts w:ascii="Simplified Arabic" w:hAnsi="Simplified Arabic" w:cs="Simplified Arabic" w:hint="cs"/>
          <w:b/>
          <w:bCs/>
          <w:sz w:val="24"/>
          <w:szCs w:val="24"/>
          <w:rtl/>
        </w:rPr>
        <w:t xml:space="preserve"> ص، 07،</w:t>
      </w:r>
      <w:r w:rsidRPr="00A66452">
        <w:rPr>
          <w:rFonts w:ascii="Simplified Arabic" w:hAnsi="Simplified Arabic" w:cs="Simplified Arabic"/>
          <w:b/>
          <w:bCs/>
          <w:sz w:val="24"/>
          <w:szCs w:val="24"/>
          <w:rtl/>
        </w:rPr>
        <w:t xml:space="preserve"> ط 1، يوليوز 2017</w:t>
      </w:r>
      <w:r w:rsidR="00930923">
        <w:rPr>
          <w:rFonts w:ascii="Simplified Arabic" w:hAnsi="Simplified Arabic" w:cs="Simplified Arabic" w:hint="cs"/>
          <w:b/>
          <w:bCs/>
          <w:sz w:val="24"/>
          <w:szCs w:val="24"/>
          <w:rtl/>
        </w:rPr>
        <w:t>.</w:t>
      </w:r>
      <w:r w:rsidRPr="007B04BD">
        <w:rPr>
          <w:rStyle w:val="Appelnotedebasdep"/>
          <w:vertAlign w:val="baseline"/>
        </w:rPr>
        <w:footnoteRef/>
      </w:r>
      <w:r w:rsidRPr="007B04BD">
        <w:t xml:space="preserve"> </w:t>
      </w:r>
    </w:p>
  </w:footnote>
  <w:footnote w:id="4">
    <w:p w:rsidR="007B04BD" w:rsidRDefault="007B04BD" w:rsidP="00930923">
      <w:pPr>
        <w:pStyle w:val="Notedebasdepage"/>
        <w:bidi/>
        <w:jc w:val="both"/>
        <w:rPr>
          <w:rtl/>
        </w:rPr>
      </w:pPr>
      <w:r>
        <w:rPr>
          <w:rFonts w:hint="cs"/>
          <w:rtl/>
        </w:rPr>
        <w:t>1-</w:t>
      </w:r>
      <w:r w:rsidRPr="007B04BD">
        <w:rPr>
          <w:rFonts w:ascii="Simplified Arabic" w:hAnsi="Simplified Arabic" w:cs="Simplified Arabic"/>
          <w:b/>
          <w:bCs/>
          <w:sz w:val="24"/>
          <w:szCs w:val="24"/>
          <w:rtl/>
        </w:rPr>
        <w:t xml:space="preserve"> </w:t>
      </w:r>
      <w:r w:rsidRPr="00A66452">
        <w:rPr>
          <w:rFonts w:ascii="Simplified Arabic" w:hAnsi="Simplified Arabic" w:cs="Simplified Arabic"/>
          <w:b/>
          <w:bCs/>
          <w:sz w:val="24"/>
          <w:szCs w:val="24"/>
          <w:rtl/>
        </w:rPr>
        <w:t>محمد عدناني: حدود العلمية في تدوين الشعر العربي القديم ونقده، مجلة البلاغة والنقد الأدبي، العدد المزدوج 4/5، خريف/ شتاء</w:t>
      </w:r>
      <w:r w:rsidR="00930923">
        <w:rPr>
          <w:rFonts w:ascii="Simplified Arabic" w:hAnsi="Simplified Arabic" w:cs="Simplified Arabic" w:hint="cs"/>
          <w:b/>
          <w:bCs/>
          <w:sz w:val="24"/>
          <w:szCs w:val="24"/>
          <w:rtl/>
        </w:rPr>
        <w:t>، ص:81،</w:t>
      </w:r>
      <w:r w:rsidRPr="00A66452">
        <w:rPr>
          <w:rFonts w:ascii="Simplified Arabic" w:hAnsi="Simplified Arabic" w:cs="Simplified Arabic"/>
          <w:b/>
          <w:bCs/>
          <w:sz w:val="24"/>
          <w:szCs w:val="24"/>
          <w:rtl/>
        </w:rPr>
        <w:t xml:space="preserve"> 2015</w:t>
      </w:r>
      <w:r w:rsidR="00930923">
        <w:rPr>
          <w:rFonts w:ascii="Simplified Arabic" w:hAnsi="Simplified Arabic" w:cs="Simplified Arabic" w:hint="cs"/>
          <w:b/>
          <w:bCs/>
          <w:sz w:val="24"/>
          <w:szCs w:val="24"/>
          <w:rtl/>
        </w:rPr>
        <w:t>.</w:t>
      </w:r>
    </w:p>
  </w:footnote>
  <w:footnote w:id="5">
    <w:p w:rsidR="00930923" w:rsidRDefault="007B04BD" w:rsidP="007B04BD">
      <w:pPr>
        <w:pStyle w:val="Notedebasdepage"/>
        <w:bidi/>
        <w:jc w:val="both"/>
        <w:rPr>
          <w:rFonts w:ascii="Simplified Arabic" w:hAnsi="Simplified Arabic" w:cs="Simplified Arabic" w:hint="cs"/>
          <w:b/>
          <w:bCs/>
          <w:sz w:val="24"/>
          <w:szCs w:val="24"/>
          <w:rtl/>
        </w:rPr>
      </w:pPr>
      <w:r>
        <w:rPr>
          <w:rFonts w:hint="cs"/>
          <w:rtl/>
        </w:rPr>
        <w:t>2-</w:t>
      </w:r>
      <w:r w:rsidRPr="007B04BD">
        <w:rPr>
          <w:rFonts w:ascii="Simplified Arabic" w:hAnsi="Simplified Arabic" w:cs="Simplified Arabic"/>
          <w:b/>
          <w:bCs/>
          <w:sz w:val="24"/>
          <w:szCs w:val="24"/>
          <w:rtl/>
        </w:rPr>
        <w:t xml:space="preserve"> </w:t>
      </w:r>
      <w:r w:rsidRPr="00387ED5">
        <w:rPr>
          <w:rFonts w:ascii="Simplified Arabic" w:hAnsi="Simplified Arabic" w:cs="Simplified Arabic"/>
          <w:b/>
          <w:bCs/>
          <w:sz w:val="24"/>
          <w:szCs w:val="24"/>
          <w:rtl/>
        </w:rPr>
        <w:t>عبد الرحيم أبو الصفاء: حداثة التراث: شعرية التناص وجمالية التلقي (من انزياح النص إلى انزياح القراءة)، منشورات اتحاد كتاب المغرب،</w:t>
      </w:r>
    </w:p>
    <w:p w:rsidR="007B04BD" w:rsidRPr="007B04BD" w:rsidRDefault="00930923" w:rsidP="00930923">
      <w:pPr>
        <w:pStyle w:val="Notedebasdepage"/>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ص: 13،</w:t>
      </w:r>
      <w:r w:rsidR="007B04BD" w:rsidRPr="00387ED5">
        <w:rPr>
          <w:rFonts w:ascii="Simplified Arabic" w:hAnsi="Simplified Arabic" w:cs="Simplified Arabic"/>
          <w:b/>
          <w:bCs/>
          <w:sz w:val="24"/>
          <w:szCs w:val="24"/>
          <w:rtl/>
        </w:rPr>
        <w:t xml:space="preserve"> ط 1، 2013</w:t>
      </w:r>
      <w:r>
        <w:rPr>
          <w:rFonts w:ascii="Simplified Arabic" w:hAnsi="Simplified Arabic" w:cs="Simplified Arabic" w:hint="cs"/>
          <w:b/>
          <w:bCs/>
          <w:sz w:val="24"/>
          <w:szCs w:val="24"/>
          <w:rtl/>
        </w:rPr>
        <w:t>.</w:t>
      </w:r>
      <w:r w:rsidR="007B04BD" w:rsidRPr="00387ED5">
        <w:rPr>
          <w:rFonts w:ascii="Simplified Arabic" w:hAnsi="Simplified Arabic" w:cs="Simplified Arabic"/>
          <w:b/>
          <w:bCs/>
          <w:sz w:val="24"/>
          <w:szCs w:val="24"/>
        </w:rPr>
        <w:t xml:space="preserve"> </w:t>
      </w:r>
    </w:p>
  </w:footnote>
  <w:footnote w:id="6">
    <w:p w:rsidR="007B04BD" w:rsidRPr="001B4823" w:rsidRDefault="007B04BD" w:rsidP="00930923">
      <w:pPr>
        <w:pStyle w:val="Notedebasdepage"/>
        <w:bidi/>
        <w:jc w:val="both"/>
        <w:rPr>
          <w:rtl/>
        </w:rPr>
      </w:pPr>
      <w:r>
        <w:rPr>
          <w:rFonts w:hint="cs"/>
          <w:rtl/>
        </w:rPr>
        <w:t>-</w:t>
      </w:r>
      <w:r w:rsidRPr="007B04BD">
        <w:rPr>
          <w:rFonts w:ascii="Simplified Arabic" w:hAnsi="Simplified Arabic" w:cs="Simplified Arabic"/>
          <w:b/>
          <w:bCs/>
          <w:sz w:val="24"/>
          <w:szCs w:val="24"/>
          <w:rtl/>
        </w:rPr>
        <w:t xml:space="preserve"> </w:t>
      </w:r>
      <w:r w:rsidRPr="00387ED5">
        <w:rPr>
          <w:rFonts w:ascii="Simplified Arabic" w:hAnsi="Simplified Arabic" w:cs="Simplified Arabic"/>
          <w:b/>
          <w:bCs/>
          <w:sz w:val="24"/>
          <w:szCs w:val="24"/>
          <w:rtl/>
        </w:rPr>
        <w:t>روبرت هولب: نظرية التلقي، مقدمة نقدية، ترجمة: عز الدين اسماعيل، منشورات النادي  الأدبي الثقافي جدة،</w:t>
      </w:r>
      <w:r w:rsidR="00930923">
        <w:rPr>
          <w:rFonts w:ascii="Simplified Arabic" w:hAnsi="Simplified Arabic" w:cs="Simplified Arabic" w:hint="cs"/>
          <w:b/>
          <w:bCs/>
          <w:sz w:val="24"/>
          <w:szCs w:val="24"/>
          <w:rtl/>
        </w:rPr>
        <w:t xml:space="preserve"> ص:254،</w:t>
      </w:r>
      <w:r w:rsidRPr="00387ED5">
        <w:rPr>
          <w:rFonts w:ascii="Simplified Arabic" w:hAnsi="Simplified Arabic" w:cs="Simplified Arabic"/>
          <w:b/>
          <w:bCs/>
          <w:sz w:val="24"/>
          <w:szCs w:val="24"/>
          <w:rtl/>
        </w:rPr>
        <w:t xml:space="preserve"> ط 1، 1994</w:t>
      </w:r>
      <w:r w:rsidRPr="00387ED5">
        <w:rPr>
          <w:rFonts w:ascii="Simplified Arabic" w:hAnsi="Simplified Arabic" w:cs="Simplified Arabic"/>
          <w:b/>
          <w:bCs/>
          <w:sz w:val="24"/>
          <w:szCs w:val="24"/>
        </w:rPr>
        <w:t xml:space="preserve"> </w:t>
      </w:r>
    </w:p>
    <w:p w:rsidR="007B04BD" w:rsidRDefault="007B04BD" w:rsidP="007B04BD">
      <w:pPr>
        <w:pStyle w:val="Notedebasdepage"/>
        <w:jc w:val="right"/>
        <w:rPr>
          <w:rtl/>
          <w:lang w:bidi="ar-MA"/>
        </w:rPr>
      </w:pPr>
      <w:r>
        <w:rPr>
          <w:rFonts w:hint="cs"/>
          <w:rtl/>
        </w:rPr>
        <w:t xml:space="preserve"> </w:t>
      </w:r>
      <w:r>
        <w:rPr>
          <w:rStyle w:val="Appelnotedebasdep"/>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7FF"/>
    <w:rsid w:val="00000903"/>
    <w:rsid w:val="000304DC"/>
    <w:rsid w:val="0006639A"/>
    <w:rsid w:val="00076EF0"/>
    <w:rsid w:val="00077B68"/>
    <w:rsid w:val="001B4823"/>
    <w:rsid w:val="00210421"/>
    <w:rsid w:val="002260B1"/>
    <w:rsid w:val="002613F9"/>
    <w:rsid w:val="00314894"/>
    <w:rsid w:val="0036213D"/>
    <w:rsid w:val="00387ED5"/>
    <w:rsid w:val="0039214C"/>
    <w:rsid w:val="003D7B40"/>
    <w:rsid w:val="003E5421"/>
    <w:rsid w:val="003F279C"/>
    <w:rsid w:val="00423E88"/>
    <w:rsid w:val="00487331"/>
    <w:rsid w:val="004C60AE"/>
    <w:rsid w:val="004F7B84"/>
    <w:rsid w:val="005760F4"/>
    <w:rsid w:val="00603372"/>
    <w:rsid w:val="00735BED"/>
    <w:rsid w:val="00741185"/>
    <w:rsid w:val="00765E46"/>
    <w:rsid w:val="007B04BD"/>
    <w:rsid w:val="007E7B2A"/>
    <w:rsid w:val="0080065C"/>
    <w:rsid w:val="0083104E"/>
    <w:rsid w:val="00835E26"/>
    <w:rsid w:val="00846DDD"/>
    <w:rsid w:val="0087295E"/>
    <w:rsid w:val="008759C1"/>
    <w:rsid w:val="008B4E68"/>
    <w:rsid w:val="0090565C"/>
    <w:rsid w:val="009177FF"/>
    <w:rsid w:val="00930923"/>
    <w:rsid w:val="009378B5"/>
    <w:rsid w:val="009815B7"/>
    <w:rsid w:val="009E209C"/>
    <w:rsid w:val="00A3281B"/>
    <w:rsid w:val="00A66452"/>
    <w:rsid w:val="00A85476"/>
    <w:rsid w:val="00A872A8"/>
    <w:rsid w:val="00AC011C"/>
    <w:rsid w:val="00AC62C6"/>
    <w:rsid w:val="00B3417E"/>
    <w:rsid w:val="00CC0D0C"/>
    <w:rsid w:val="00E1140D"/>
    <w:rsid w:val="00E42829"/>
    <w:rsid w:val="00EA7C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765E46"/>
    <w:pPr>
      <w:spacing w:after="0" w:line="240" w:lineRule="auto"/>
    </w:pPr>
    <w:rPr>
      <w:sz w:val="20"/>
      <w:szCs w:val="20"/>
    </w:rPr>
  </w:style>
  <w:style w:type="character" w:customStyle="1" w:styleId="NotedebasdepageCar">
    <w:name w:val="Note de bas de page Car"/>
    <w:basedOn w:val="Policepardfaut"/>
    <w:link w:val="Notedebasdepage"/>
    <w:uiPriority w:val="99"/>
    <w:rsid w:val="00765E46"/>
    <w:rPr>
      <w:sz w:val="20"/>
      <w:szCs w:val="20"/>
    </w:rPr>
  </w:style>
  <w:style w:type="character" w:styleId="Appelnotedebasdep">
    <w:name w:val="footnote reference"/>
    <w:basedOn w:val="Policepardfaut"/>
    <w:uiPriority w:val="99"/>
    <w:semiHidden/>
    <w:unhideWhenUsed/>
    <w:rsid w:val="00765E46"/>
    <w:rPr>
      <w:vertAlign w:val="superscript"/>
    </w:rPr>
  </w:style>
  <w:style w:type="paragraph" w:styleId="En-tte">
    <w:name w:val="header"/>
    <w:basedOn w:val="Normal"/>
    <w:link w:val="En-tteCar"/>
    <w:uiPriority w:val="99"/>
    <w:semiHidden/>
    <w:unhideWhenUsed/>
    <w:rsid w:val="00A6645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66452"/>
  </w:style>
  <w:style w:type="paragraph" w:styleId="Pieddepage">
    <w:name w:val="footer"/>
    <w:basedOn w:val="Normal"/>
    <w:link w:val="PieddepageCar"/>
    <w:uiPriority w:val="99"/>
    <w:semiHidden/>
    <w:unhideWhenUsed/>
    <w:rsid w:val="00A6645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66452"/>
  </w:style>
  <w:style w:type="paragraph" w:styleId="Paragraphedeliste">
    <w:name w:val="List Paragraph"/>
    <w:basedOn w:val="Normal"/>
    <w:uiPriority w:val="34"/>
    <w:qFormat/>
    <w:rsid w:val="008310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765E46"/>
    <w:pPr>
      <w:spacing w:after="0" w:line="240" w:lineRule="auto"/>
    </w:pPr>
    <w:rPr>
      <w:sz w:val="20"/>
      <w:szCs w:val="20"/>
    </w:rPr>
  </w:style>
  <w:style w:type="character" w:customStyle="1" w:styleId="NotedebasdepageCar">
    <w:name w:val="Note de bas de page Car"/>
    <w:basedOn w:val="Policepardfaut"/>
    <w:link w:val="Notedebasdepage"/>
    <w:uiPriority w:val="99"/>
    <w:rsid w:val="00765E46"/>
    <w:rPr>
      <w:sz w:val="20"/>
      <w:szCs w:val="20"/>
    </w:rPr>
  </w:style>
  <w:style w:type="character" w:styleId="Appelnotedebasdep">
    <w:name w:val="footnote reference"/>
    <w:basedOn w:val="Policepardfaut"/>
    <w:uiPriority w:val="99"/>
    <w:semiHidden/>
    <w:unhideWhenUsed/>
    <w:rsid w:val="00765E46"/>
    <w:rPr>
      <w:vertAlign w:val="superscript"/>
    </w:rPr>
  </w:style>
  <w:style w:type="paragraph" w:styleId="En-tte">
    <w:name w:val="header"/>
    <w:basedOn w:val="Normal"/>
    <w:link w:val="En-tteCar"/>
    <w:uiPriority w:val="99"/>
    <w:semiHidden/>
    <w:unhideWhenUsed/>
    <w:rsid w:val="00A6645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66452"/>
  </w:style>
  <w:style w:type="paragraph" w:styleId="Pieddepage">
    <w:name w:val="footer"/>
    <w:basedOn w:val="Normal"/>
    <w:link w:val="PieddepageCar"/>
    <w:uiPriority w:val="99"/>
    <w:semiHidden/>
    <w:unhideWhenUsed/>
    <w:rsid w:val="00A6645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66452"/>
  </w:style>
  <w:style w:type="paragraph" w:styleId="Paragraphedeliste">
    <w:name w:val="List Paragraph"/>
    <w:basedOn w:val="Normal"/>
    <w:uiPriority w:val="34"/>
    <w:qFormat/>
    <w:rsid w:val="00831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737EB-A835-4A83-A554-92B5A0FDD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1024</Words>
  <Characters>5635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khadiri</cp:lastModifiedBy>
  <cp:revision>8</cp:revision>
  <dcterms:created xsi:type="dcterms:W3CDTF">2022-05-21T20:20:00Z</dcterms:created>
  <dcterms:modified xsi:type="dcterms:W3CDTF">2022-09-13T09:54:00Z</dcterms:modified>
</cp:coreProperties>
</file>