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E03BF" w14:textId="6564B4A1" w:rsidR="00EE15DD" w:rsidRDefault="005A7AEE" w:rsidP="005A7AEE">
      <w:pPr>
        <w:jc w:val="center"/>
        <w:rPr>
          <w:b/>
          <w:bCs/>
          <w:sz w:val="32"/>
          <w:szCs w:val="32"/>
          <w:lang w:val="en-US"/>
        </w:rPr>
      </w:pPr>
      <w:r>
        <w:rPr>
          <w:b/>
          <w:bCs/>
          <w:sz w:val="32"/>
          <w:szCs w:val="32"/>
          <w:lang w:val="en-US"/>
        </w:rPr>
        <w:t>Faults generally encountered in Induction Motors</w:t>
      </w:r>
    </w:p>
    <w:p w14:paraId="384B6F26" w14:textId="19E194AB" w:rsidR="005A7AEE" w:rsidRDefault="005A7AEE" w:rsidP="005A7AEE">
      <w:pPr>
        <w:pStyle w:val="ListBullet"/>
        <w:numPr>
          <w:ilvl w:val="0"/>
          <w:numId w:val="0"/>
        </w:numPr>
        <w:ind w:left="360"/>
        <w:rPr>
          <w:b/>
          <w:bCs/>
          <w:sz w:val="20"/>
          <w:szCs w:val="20"/>
          <w:lang w:val="en-US"/>
        </w:rPr>
      </w:pPr>
      <w:r>
        <w:rPr>
          <w:noProof/>
        </w:rPr>
        <w:drawing>
          <wp:inline distT="0" distB="0" distL="0" distR="0" wp14:anchorId="1492CD4F" wp14:editId="6ACF6AE1">
            <wp:extent cx="5731510" cy="3704590"/>
            <wp:effectExtent l="0" t="0" r="2540" b="0"/>
            <wp:docPr id="128247320" name="Picture 1" descr="of different types of faults in induction machine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f different types of faults in induction machines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04590"/>
                    </a:xfrm>
                    <a:prstGeom prst="rect">
                      <a:avLst/>
                    </a:prstGeom>
                    <a:noFill/>
                    <a:ln>
                      <a:noFill/>
                    </a:ln>
                  </pic:spPr>
                </pic:pic>
              </a:graphicData>
            </a:graphic>
          </wp:inline>
        </w:drawing>
      </w:r>
    </w:p>
    <w:p w14:paraId="79D7F943" w14:textId="7FA8DD47" w:rsidR="005A7AEE" w:rsidRDefault="005A7AEE" w:rsidP="005A7AEE">
      <w:pPr>
        <w:pStyle w:val="ListBullet"/>
        <w:numPr>
          <w:ilvl w:val="0"/>
          <w:numId w:val="0"/>
        </w:numPr>
        <w:ind w:left="360"/>
        <w:rPr>
          <w:b/>
          <w:bCs/>
          <w:sz w:val="20"/>
          <w:szCs w:val="20"/>
          <w:lang w:val="en-US"/>
        </w:rPr>
      </w:pPr>
      <w:r>
        <w:rPr>
          <w:noProof/>
        </w:rPr>
        <w:drawing>
          <wp:inline distT="0" distB="0" distL="0" distR="0" wp14:anchorId="4BCA0607" wp14:editId="758C62EE">
            <wp:extent cx="5731510" cy="4187825"/>
            <wp:effectExtent l="0" t="0" r="2540" b="3175"/>
            <wp:docPr id="512982475" name="Picture 2" descr="Pie chart for common reasons for downtimes of 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e chart for common reasons for downtimes of IM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187825"/>
                    </a:xfrm>
                    <a:prstGeom prst="rect">
                      <a:avLst/>
                    </a:prstGeom>
                    <a:noFill/>
                    <a:ln>
                      <a:noFill/>
                    </a:ln>
                  </pic:spPr>
                </pic:pic>
              </a:graphicData>
            </a:graphic>
          </wp:inline>
        </w:drawing>
      </w:r>
    </w:p>
    <w:p w14:paraId="407B1856" w14:textId="77777777" w:rsidR="005A7AEE" w:rsidRDefault="005A7AEE" w:rsidP="005A7AEE">
      <w:pPr>
        <w:pStyle w:val="ListBullet"/>
        <w:numPr>
          <w:ilvl w:val="0"/>
          <w:numId w:val="0"/>
        </w:numPr>
        <w:ind w:left="360"/>
        <w:rPr>
          <w:b/>
          <w:bCs/>
          <w:sz w:val="20"/>
          <w:szCs w:val="20"/>
          <w:lang w:val="en-US"/>
        </w:rPr>
      </w:pPr>
    </w:p>
    <w:p w14:paraId="2DA7A5E2" w14:textId="4A8F032A" w:rsidR="005A7AEE" w:rsidRDefault="005A7AEE" w:rsidP="005A7AEE">
      <w:pPr>
        <w:pStyle w:val="ListBullet"/>
        <w:numPr>
          <w:ilvl w:val="0"/>
          <w:numId w:val="0"/>
        </w:numPr>
        <w:ind w:left="360"/>
        <w:rPr>
          <w:sz w:val="20"/>
          <w:szCs w:val="20"/>
          <w:lang w:val="en-US"/>
        </w:rPr>
      </w:pPr>
      <w:r w:rsidRPr="005A7AEE">
        <w:rPr>
          <w:b/>
          <w:bCs/>
          <w:sz w:val="20"/>
          <w:szCs w:val="20"/>
          <w:lang w:val="en-US"/>
        </w:rPr>
        <w:t>Source</w:t>
      </w:r>
      <w:r w:rsidRPr="005A7AEE">
        <w:rPr>
          <w:sz w:val="20"/>
          <w:szCs w:val="20"/>
          <w:lang w:val="en-US"/>
        </w:rPr>
        <w:t xml:space="preserve">:- </w:t>
      </w:r>
      <w:hyperlink r:id="rId7" w:history="1">
        <w:r w:rsidR="00C8368E" w:rsidRPr="009068CF">
          <w:rPr>
            <w:rStyle w:val="Hyperlink"/>
            <w:sz w:val="20"/>
            <w:szCs w:val="20"/>
            <w:lang w:val="en-US"/>
          </w:rPr>
          <w:t>https://www.researchgate.net/figure/of-different-types-of-faults-in-induction-machines-12_fig1_353335943</w:t>
        </w:r>
      </w:hyperlink>
    </w:p>
    <w:p w14:paraId="48EB39CA" w14:textId="77777777" w:rsidR="00C8368E" w:rsidRPr="00C8368E" w:rsidRDefault="00C8368E" w:rsidP="00C8368E">
      <w:pPr>
        <w:pStyle w:val="ListBullet"/>
        <w:rPr>
          <w:b/>
          <w:bCs/>
          <w:sz w:val="20"/>
          <w:szCs w:val="20"/>
        </w:rPr>
      </w:pPr>
      <w:r w:rsidRPr="00C8368E">
        <w:rPr>
          <w:b/>
          <w:bCs/>
          <w:sz w:val="20"/>
          <w:szCs w:val="20"/>
        </w:rPr>
        <w:lastRenderedPageBreak/>
        <w:t>Overview: The Framework You Need First — The P-F Curve</w:t>
      </w:r>
    </w:p>
    <w:p w14:paraId="0314CDB6" w14:textId="77777777" w:rsidR="00C8368E" w:rsidRPr="00C8368E" w:rsidRDefault="00C8368E" w:rsidP="00C8368E">
      <w:pPr>
        <w:pStyle w:val="ListBullet"/>
        <w:rPr>
          <w:sz w:val="20"/>
          <w:szCs w:val="20"/>
        </w:rPr>
      </w:pPr>
      <w:r w:rsidRPr="00C8368E">
        <w:rPr>
          <w:sz w:val="20"/>
          <w:szCs w:val="20"/>
        </w:rPr>
        <w:t xml:space="preserve">Before cataloging faults, it's worth anchoring everything in one concept because it directly answers your "detect before things go bad" framing: the </w:t>
      </w:r>
      <w:r w:rsidRPr="00C8368E">
        <w:rPr>
          <w:b/>
          <w:bCs/>
          <w:sz w:val="20"/>
          <w:szCs w:val="20"/>
        </w:rPr>
        <w:t>P-F Curve</w:t>
      </w:r>
      <w:r w:rsidRPr="00C8368E">
        <w:rPr>
          <w:sz w:val="20"/>
          <w:szCs w:val="20"/>
        </w:rPr>
        <w:t>.</w:t>
      </w:r>
    </w:p>
    <w:p w14:paraId="502462A2" w14:textId="77777777" w:rsidR="00C8368E" w:rsidRPr="00C8368E" w:rsidRDefault="00C8368E" w:rsidP="00C8368E">
      <w:pPr>
        <w:pStyle w:val="ListBullet"/>
        <w:rPr>
          <w:sz w:val="20"/>
          <w:szCs w:val="20"/>
        </w:rPr>
      </w:pPr>
      <w:r w:rsidRPr="00C8368E">
        <w:rPr>
          <w:sz w:val="20"/>
          <w:szCs w:val="20"/>
        </w:rPr>
        <w:t xml:space="preserve">It maps an asset's health from </w:t>
      </w:r>
      <w:r w:rsidRPr="00C8368E">
        <w:rPr>
          <w:b/>
          <w:bCs/>
          <w:sz w:val="20"/>
          <w:szCs w:val="20"/>
        </w:rPr>
        <w:t>P</w:t>
      </w:r>
      <w:r w:rsidRPr="00C8368E">
        <w:rPr>
          <w:sz w:val="20"/>
          <w:szCs w:val="20"/>
        </w:rPr>
        <w:t xml:space="preserve"> (the earliest </w:t>
      </w:r>
      <w:r w:rsidRPr="00C8368E">
        <w:rPr>
          <w:i/>
          <w:iCs/>
          <w:sz w:val="20"/>
          <w:szCs w:val="20"/>
        </w:rPr>
        <w:t>Potential</w:t>
      </w:r>
      <w:r w:rsidRPr="00C8368E">
        <w:rPr>
          <w:sz w:val="20"/>
          <w:szCs w:val="20"/>
        </w:rPr>
        <w:t xml:space="preserve"> failure point — first detectable sign something is wrong) to </w:t>
      </w:r>
      <w:r w:rsidRPr="00C8368E">
        <w:rPr>
          <w:b/>
          <w:bCs/>
          <w:sz w:val="20"/>
          <w:szCs w:val="20"/>
        </w:rPr>
        <w:t>F</w:t>
      </w:r>
      <w:r w:rsidRPr="00C8368E">
        <w:rPr>
          <w:sz w:val="20"/>
          <w:szCs w:val="20"/>
        </w:rPr>
        <w:t xml:space="preserve"> (</w:t>
      </w:r>
      <w:r w:rsidRPr="00C8368E">
        <w:rPr>
          <w:i/>
          <w:iCs/>
          <w:sz w:val="20"/>
          <w:szCs w:val="20"/>
        </w:rPr>
        <w:t>Functional</w:t>
      </w:r>
      <w:r w:rsidRPr="00C8368E">
        <w:rPr>
          <w:sz w:val="20"/>
          <w:szCs w:val="20"/>
        </w:rPr>
        <w:t xml:space="preserve"> failure — the machine actually stops working). The gap between P and F is your window to act. Two things matter enormously for your project:</w:t>
      </w:r>
    </w:p>
    <w:p w14:paraId="1EE8BE71" w14:textId="77777777" w:rsidR="00C8368E" w:rsidRPr="00C8368E" w:rsidRDefault="00C8368E" w:rsidP="00C8368E">
      <w:pPr>
        <w:pStyle w:val="ListBullet"/>
        <w:numPr>
          <w:ilvl w:val="0"/>
          <w:numId w:val="2"/>
        </w:numPr>
        <w:rPr>
          <w:sz w:val="20"/>
          <w:szCs w:val="20"/>
        </w:rPr>
      </w:pPr>
      <w:r w:rsidRPr="00C8368E">
        <w:rPr>
          <w:b/>
          <w:bCs/>
          <w:sz w:val="20"/>
          <w:szCs w:val="20"/>
        </w:rPr>
        <w:t>Different sensing techniques detect the P point at different times.</w:t>
      </w:r>
      <w:r w:rsidRPr="00C8368E">
        <w:rPr>
          <w:sz w:val="20"/>
          <w:szCs w:val="20"/>
        </w:rPr>
        <w:t xml:space="preserve"> Some catch problems months out; others only catch them once damage is already substantial. This directly determines how "predictive" your three sensors actually are, per fault type.</w:t>
      </w:r>
    </w:p>
    <w:p w14:paraId="61DEBA82" w14:textId="77777777" w:rsidR="00C8368E" w:rsidRPr="00C8368E" w:rsidRDefault="00C8368E" w:rsidP="00C8368E">
      <w:pPr>
        <w:pStyle w:val="ListBullet"/>
        <w:numPr>
          <w:ilvl w:val="0"/>
          <w:numId w:val="2"/>
        </w:numPr>
        <w:rPr>
          <w:sz w:val="20"/>
          <w:szCs w:val="20"/>
        </w:rPr>
      </w:pPr>
      <w:r w:rsidRPr="00C8368E">
        <w:rPr>
          <w:b/>
          <w:bCs/>
          <w:sz w:val="20"/>
          <w:szCs w:val="20"/>
        </w:rPr>
        <w:t>You must monitor more frequently than the P-F interval, or you'll miss the window entirely</w:t>
      </w:r>
      <w:r w:rsidRPr="00C8368E">
        <w:rPr>
          <w:sz w:val="20"/>
          <w:szCs w:val="20"/>
        </w:rPr>
        <w:t xml:space="preserve"> — this is a systems-design point relevant to how often your firmware should sample, not just what it senses.</w:t>
      </w:r>
    </w:p>
    <w:p w14:paraId="38A5F5AD" w14:textId="77777777" w:rsidR="00C8368E" w:rsidRPr="00C8368E" w:rsidRDefault="00C8368E" w:rsidP="00C8368E">
      <w:pPr>
        <w:pStyle w:val="ListBullet"/>
        <w:rPr>
          <w:b/>
          <w:bCs/>
          <w:sz w:val="20"/>
          <w:szCs w:val="20"/>
        </w:rPr>
      </w:pPr>
      <w:r w:rsidRPr="00C8368E">
        <w:rPr>
          <w:b/>
          <w:bCs/>
          <w:sz w:val="20"/>
          <w:szCs w:val="20"/>
        </w:rPr>
        <w:t>Fault Statistics — Where to Focus Your Effort</w:t>
      </w:r>
    </w:p>
    <w:p w14:paraId="51CECFA1" w14:textId="77777777" w:rsidR="00C8368E" w:rsidRPr="00C8368E" w:rsidRDefault="00C8368E" w:rsidP="00C8368E">
      <w:pPr>
        <w:pStyle w:val="ListBullet"/>
        <w:rPr>
          <w:sz w:val="20"/>
          <w:szCs w:val="20"/>
        </w:rPr>
      </w:pPr>
      <w:r w:rsidRPr="00C8368E">
        <w:rPr>
          <w:sz w:val="20"/>
          <w:szCs w:val="20"/>
        </w:rPr>
        <w:t>Multiple large-scale surveys (IEEE Std 493 "Gold Book," EPRI, ABB) converge on a consistent ranking, so this isn't your product decision to make from scratch — it's already established which faults matter most: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2"/>
        <w:gridCol w:w="4918"/>
      </w:tblGrid>
      <w:tr w:rsidR="00C8368E" w:rsidRPr="00C8368E" w14:paraId="2EE1D788" w14:textId="77777777">
        <w:trPr>
          <w:tblHeader/>
          <w:tblCellSpacing w:w="15" w:type="dxa"/>
        </w:trPr>
        <w:tc>
          <w:tcPr>
            <w:tcW w:w="0" w:type="auto"/>
            <w:vAlign w:val="center"/>
            <w:hideMark/>
          </w:tcPr>
          <w:p w14:paraId="06002EE8" w14:textId="77777777" w:rsidR="00C8368E" w:rsidRPr="00C8368E" w:rsidRDefault="00C8368E" w:rsidP="00C8368E">
            <w:pPr>
              <w:pStyle w:val="ListBullet"/>
              <w:rPr>
                <w:b/>
                <w:bCs/>
                <w:sz w:val="20"/>
                <w:szCs w:val="20"/>
              </w:rPr>
            </w:pPr>
            <w:r w:rsidRPr="00C8368E">
              <w:rPr>
                <w:b/>
                <w:bCs/>
                <w:sz w:val="20"/>
                <w:szCs w:val="20"/>
              </w:rPr>
              <w:t>Fault category</w:t>
            </w:r>
          </w:p>
        </w:tc>
        <w:tc>
          <w:tcPr>
            <w:tcW w:w="0" w:type="auto"/>
            <w:vAlign w:val="center"/>
            <w:hideMark/>
          </w:tcPr>
          <w:p w14:paraId="50141E79" w14:textId="77777777" w:rsidR="00C8368E" w:rsidRPr="00C8368E" w:rsidRDefault="00C8368E" w:rsidP="00C8368E">
            <w:pPr>
              <w:pStyle w:val="ListBullet"/>
              <w:rPr>
                <w:b/>
                <w:bCs/>
                <w:sz w:val="20"/>
                <w:szCs w:val="20"/>
              </w:rPr>
            </w:pPr>
            <w:r w:rsidRPr="00C8368E">
              <w:rPr>
                <w:b/>
                <w:bCs/>
                <w:sz w:val="20"/>
                <w:szCs w:val="20"/>
              </w:rPr>
              <w:t>Share of failures (IEEE/EPRI/ABB range)</w:t>
            </w:r>
          </w:p>
        </w:tc>
      </w:tr>
      <w:tr w:rsidR="00C8368E" w:rsidRPr="00C8368E" w14:paraId="204B18CF" w14:textId="77777777">
        <w:trPr>
          <w:tblCellSpacing w:w="15" w:type="dxa"/>
        </w:trPr>
        <w:tc>
          <w:tcPr>
            <w:tcW w:w="0" w:type="auto"/>
            <w:vAlign w:val="center"/>
            <w:hideMark/>
          </w:tcPr>
          <w:p w14:paraId="29165280" w14:textId="77777777" w:rsidR="00C8368E" w:rsidRPr="00C8368E" w:rsidRDefault="00C8368E" w:rsidP="00C8368E">
            <w:pPr>
              <w:pStyle w:val="ListBullet"/>
              <w:rPr>
                <w:sz w:val="20"/>
                <w:szCs w:val="20"/>
              </w:rPr>
            </w:pPr>
            <w:r w:rsidRPr="00C8368E">
              <w:rPr>
                <w:b/>
                <w:bCs/>
                <w:sz w:val="20"/>
                <w:szCs w:val="20"/>
              </w:rPr>
              <w:t>Bearing faults</w:t>
            </w:r>
          </w:p>
        </w:tc>
        <w:tc>
          <w:tcPr>
            <w:tcW w:w="0" w:type="auto"/>
            <w:vAlign w:val="center"/>
            <w:hideMark/>
          </w:tcPr>
          <w:p w14:paraId="5867C706" w14:textId="77777777" w:rsidR="00C8368E" w:rsidRPr="00C8368E" w:rsidRDefault="00C8368E" w:rsidP="00C8368E">
            <w:pPr>
              <w:pStyle w:val="ListBullet"/>
              <w:rPr>
                <w:sz w:val="20"/>
                <w:szCs w:val="20"/>
              </w:rPr>
            </w:pPr>
            <w:r w:rsidRPr="00C8368E">
              <w:rPr>
                <w:sz w:val="20"/>
                <w:szCs w:val="20"/>
              </w:rPr>
              <w:t>41–51% (dominant category across all three studies)</w:t>
            </w:r>
          </w:p>
        </w:tc>
      </w:tr>
      <w:tr w:rsidR="00C8368E" w:rsidRPr="00C8368E" w14:paraId="48390015" w14:textId="77777777">
        <w:trPr>
          <w:tblCellSpacing w:w="15" w:type="dxa"/>
        </w:trPr>
        <w:tc>
          <w:tcPr>
            <w:tcW w:w="0" w:type="auto"/>
            <w:vAlign w:val="center"/>
            <w:hideMark/>
          </w:tcPr>
          <w:p w14:paraId="7C0378B0" w14:textId="77777777" w:rsidR="00C8368E" w:rsidRPr="00C8368E" w:rsidRDefault="00C8368E" w:rsidP="00C8368E">
            <w:pPr>
              <w:pStyle w:val="ListBullet"/>
              <w:rPr>
                <w:sz w:val="20"/>
                <w:szCs w:val="20"/>
              </w:rPr>
            </w:pPr>
            <w:r w:rsidRPr="00C8368E">
              <w:rPr>
                <w:b/>
                <w:bCs/>
                <w:sz w:val="20"/>
                <w:szCs w:val="20"/>
              </w:rPr>
              <w:t>Stator winding faults</w:t>
            </w:r>
          </w:p>
        </w:tc>
        <w:tc>
          <w:tcPr>
            <w:tcW w:w="0" w:type="auto"/>
            <w:vAlign w:val="center"/>
            <w:hideMark/>
          </w:tcPr>
          <w:p w14:paraId="2C3A00AF" w14:textId="77777777" w:rsidR="00C8368E" w:rsidRPr="00C8368E" w:rsidRDefault="00C8368E" w:rsidP="00C8368E">
            <w:pPr>
              <w:pStyle w:val="ListBullet"/>
              <w:rPr>
                <w:sz w:val="20"/>
                <w:szCs w:val="20"/>
              </w:rPr>
            </w:pPr>
            <w:r w:rsidRPr="00C8368E">
              <w:rPr>
                <w:sz w:val="20"/>
                <w:szCs w:val="20"/>
              </w:rPr>
              <w:t>26–36%</w:t>
            </w:r>
          </w:p>
        </w:tc>
      </w:tr>
      <w:tr w:rsidR="00C8368E" w:rsidRPr="00C8368E" w14:paraId="7BEA985A" w14:textId="77777777">
        <w:trPr>
          <w:tblCellSpacing w:w="15" w:type="dxa"/>
        </w:trPr>
        <w:tc>
          <w:tcPr>
            <w:tcW w:w="0" w:type="auto"/>
            <w:vAlign w:val="center"/>
            <w:hideMark/>
          </w:tcPr>
          <w:p w14:paraId="4DC4FC8C" w14:textId="77777777" w:rsidR="00C8368E" w:rsidRPr="00C8368E" w:rsidRDefault="00C8368E" w:rsidP="00C8368E">
            <w:pPr>
              <w:pStyle w:val="ListBullet"/>
              <w:rPr>
                <w:sz w:val="20"/>
                <w:szCs w:val="20"/>
              </w:rPr>
            </w:pPr>
            <w:r w:rsidRPr="00C8368E">
              <w:rPr>
                <w:b/>
                <w:bCs/>
                <w:sz w:val="20"/>
                <w:szCs w:val="20"/>
              </w:rPr>
              <w:t>Rotor faults</w:t>
            </w:r>
            <w:r w:rsidRPr="00C8368E">
              <w:rPr>
                <w:sz w:val="20"/>
                <w:szCs w:val="20"/>
              </w:rPr>
              <w:t xml:space="preserve"> (broken bars, etc.)</w:t>
            </w:r>
          </w:p>
        </w:tc>
        <w:tc>
          <w:tcPr>
            <w:tcW w:w="0" w:type="auto"/>
            <w:vAlign w:val="center"/>
            <w:hideMark/>
          </w:tcPr>
          <w:p w14:paraId="19195550" w14:textId="77777777" w:rsidR="00C8368E" w:rsidRPr="00C8368E" w:rsidRDefault="00C8368E" w:rsidP="00C8368E">
            <w:pPr>
              <w:pStyle w:val="ListBullet"/>
              <w:rPr>
                <w:sz w:val="20"/>
                <w:szCs w:val="20"/>
              </w:rPr>
            </w:pPr>
            <w:r w:rsidRPr="00C8368E">
              <w:rPr>
                <w:sz w:val="20"/>
                <w:szCs w:val="20"/>
              </w:rPr>
              <w:t>8–9%</w:t>
            </w:r>
          </w:p>
        </w:tc>
      </w:tr>
      <w:tr w:rsidR="00C8368E" w:rsidRPr="00C8368E" w14:paraId="1C5745B2" w14:textId="77777777">
        <w:trPr>
          <w:tblCellSpacing w:w="15" w:type="dxa"/>
        </w:trPr>
        <w:tc>
          <w:tcPr>
            <w:tcW w:w="0" w:type="auto"/>
            <w:vAlign w:val="center"/>
            <w:hideMark/>
          </w:tcPr>
          <w:p w14:paraId="71E3C109" w14:textId="77777777" w:rsidR="00C8368E" w:rsidRPr="00C8368E" w:rsidRDefault="00C8368E" w:rsidP="00C8368E">
            <w:pPr>
              <w:pStyle w:val="ListBullet"/>
              <w:rPr>
                <w:sz w:val="20"/>
                <w:szCs w:val="20"/>
              </w:rPr>
            </w:pPr>
            <w:r w:rsidRPr="00C8368E">
              <w:rPr>
                <w:b/>
                <w:bCs/>
                <w:sz w:val="20"/>
                <w:szCs w:val="20"/>
              </w:rPr>
              <w:t>Other</w:t>
            </w:r>
            <w:r w:rsidRPr="00C8368E">
              <w:rPr>
                <w:sz w:val="20"/>
                <w:szCs w:val="20"/>
              </w:rPr>
              <w:t xml:space="preserve"> (external, misc.)</w:t>
            </w:r>
          </w:p>
        </w:tc>
        <w:tc>
          <w:tcPr>
            <w:tcW w:w="0" w:type="auto"/>
            <w:vAlign w:val="center"/>
            <w:hideMark/>
          </w:tcPr>
          <w:p w14:paraId="4971585A" w14:textId="77777777" w:rsidR="00C8368E" w:rsidRPr="00C8368E" w:rsidRDefault="00C8368E" w:rsidP="00C8368E">
            <w:pPr>
              <w:pStyle w:val="ListBullet"/>
              <w:rPr>
                <w:sz w:val="20"/>
                <w:szCs w:val="20"/>
              </w:rPr>
            </w:pPr>
            <w:r w:rsidRPr="00C8368E">
              <w:rPr>
                <w:sz w:val="20"/>
                <w:szCs w:val="20"/>
              </w:rPr>
              <w:t>12–22%</w:t>
            </w:r>
          </w:p>
        </w:tc>
      </w:tr>
    </w:tbl>
    <w:p w14:paraId="5B197EB3" w14:textId="77777777" w:rsidR="00C8368E" w:rsidRPr="00C8368E" w:rsidRDefault="00C8368E" w:rsidP="00C8368E">
      <w:pPr>
        <w:pStyle w:val="ListBullet"/>
        <w:rPr>
          <w:sz w:val="20"/>
          <w:szCs w:val="20"/>
        </w:rPr>
      </w:pPr>
      <w:r w:rsidRPr="00C8368E">
        <w:rPr>
          <w:sz w:val="20"/>
          <w:szCs w:val="20"/>
        </w:rPr>
        <w:t>This validates your project's existing thesis focus (bearing + winding faults) — together these two categories account for roughly 70–85% of real induction motor failures. You're targeting the right problems.</w:t>
      </w:r>
    </w:p>
    <w:p w14:paraId="7C1E8C57" w14:textId="77777777" w:rsidR="00C8368E" w:rsidRPr="00C8368E" w:rsidRDefault="00C8368E" w:rsidP="00C8368E">
      <w:pPr>
        <w:pStyle w:val="ListBullet"/>
        <w:rPr>
          <w:b/>
          <w:bCs/>
          <w:sz w:val="20"/>
          <w:szCs w:val="20"/>
        </w:rPr>
      </w:pPr>
      <w:r w:rsidRPr="00C8368E">
        <w:rPr>
          <w:b/>
          <w:bCs/>
          <w:sz w:val="20"/>
          <w:szCs w:val="20"/>
        </w:rPr>
        <w:t>Fault-by-Fault: Mechanism, Progression, and Which Sensor Catches It When</w:t>
      </w:r>
    </w:p>
    <w:p w14:paraId="3AFAD45A" w14:textId="77777777" w:rsidR="00C8368E" w:rsidRPr="00C8368E" w:rsidRDefault="00C8368E" w:rsidP="00C8368E">
      <w:pPr>
        <w:pStyle w:val="ListBullet"/>
        <w:rPr>
          <w:b/>
          <w:bCs/>
          <w:sz w:val="20"/>
          <w:szCs w:val="20"/>
        </w:rPr>
      </w:pPr>
      <w:r w:rsidRPr="00C8368E">
        <w:rPr>
          <w:b/>
          <w:bCs/>
          <w:sz w:val="20"/>
          <w:szCs w:val="20"/>
        </w:rPr>
        <w:t>1. Bearing Faults (dominant category — your vibration sensor's job)</w:t>
      </w:r>
    </w:p>
    <w:p w14:paraId="43B14627" w14:textId="77777777" w:rsidR="00C8368E" w:rsidRPr="00C8368E" w:rsidRDefault="00C8368E" w:rsidP="00C8368E">
      <w:pPr>
        <w:pStyle w:val="ListBullet"/>
        <w:rPr>
          <w:sz w:val="20"/>
          <w:szCs w:val="20"/>
        </w:rPr>
      </w:pPr>
      <w:r w:rsidRPr="00C8368E">
        <w:rPr>
          <w:b/>
          <w:bCs/>
          <w:sz w:val="20"/>
          <w:szCs w:val="20"/>
        </w:rPr>
        <w:t>What physically happens:</w:t>
      </w:r>
      <w:r w:rsidRPr="00C8368E">
        <w:rPr>
          <w:sz w:val="20"/>
          <w:szCs w:val="20"/>
        </w:rPr>
        <w:t xml:space="preserve"> Rolling-element bearings degrade through fatigue. Microscopic subsurface cracking begins first, invisible even under a microscope, eventually surfacing as pitting/spalling on the race or rolling elements, which then generates increasingly severe vibration and eventually noise, heat, and mechanical looseness.</w:t>
      </w:r>
    </w:p>
    <w:p w14:paraId="02DD2E9F" w14:textId="77777777" w:rsidR="00C8368E" w:rsidRPr="00C8368E" w:rsidRDefault="00C8368E" w:rsidP="00C8368E">
      <w:pPr>
        <w:pStyle w:val="ListBullet"/>
        <w:rPr>
          <w:sz w:val="20"/>
          <w:szCs w:val="20"/>
        </w:rPr>
      </w:pPr>
      <w:r w:rsidRPr="00C8368E">
        <w:rPr>
          <w:b/>
          <w:bCs/>
          <w:sz w:val="20"/>
          <w:szCs w:val="20"/>
        </w:rPr>
        <w:t>Four measurable degradation stages, and what detects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3048"/>
        <w:gridCol w:w="2299"/>
        <w:gridCol w:w="2709"/>
      </w:tblGrid>
      <w:tr w:rsidR="00C8368E" w:rsidRPr="00C8368E" w14:paraId="7D8C6BEF" w14:textId="77777777">
        <w:trPr>
          <w:tblHeader/>
          <w:tblCellSpacing w:w="15" w:type="dxa"/>
        </w:trPr>
        <w:tc>
          <w:tcPr>
            <w:tcW w:w="0" w:type="auto"/>
            <w:vAlign w:val="center"/>
            <w:hideMark/>
          </w:tcPr>
          <w:p w14:paraId="7A52452D" w14:textId="77777777" w:rsidR="00C8368E" w:rsidRPr="00C8368E" w:rsidRDefault="00C8368E" w:rsidP="00C8368E">
            <w:pPr>
              <w:pStyle w:val="ListBullet"/>
              <w:rPr>
                <w:b/>
                <w:bCs/>
                <w:sz w:val="20"/>
                <w:szCs w:val="20"/>
              </w:rPr>
            </w:pPr>
            <w:r w:rsidRPr="00C8368E">
              <w:rPr>
                <w:b/>
                <w:bCs/>
                <w:sz w:val="20"/>
                <w:szCs w:val="20"/>
              </w:rPr>
              <w:t>Stage</w:t>
            </w:r>
          </w:p>
        </w:tc>
        <w:tc>
          <w:tcPr>
            <w:tcW w:w="0" w:type="auto"/>
            <w:vAlign w:val="center"/>
            <w:hideMark/>
          </w:tcPr>
          <w:p w14:paraId="4134D120" w14:textId="77777777" w:rsidR="00C8368E" w:rsidRPr="00C8368E" w:rsidRDefault="00C8368E" w:rsidP="00C8368E">
            <w:pPr>
              <w:pStyle w:val="ListBullet"/>
              <w:rPr>
                <w:b/>
                <w:bCs/>
                <w:sz w:val="20"/>
                <w:szCs w:val="20"/>
              </w:rPr>
            </w:pPr>
            <w:r w:rsidRPr="00C8368E">
              <w:rPr>
                <w:b/>
                <w:bCs/>
                <w:sz w:val="20"/>
                <w:szCs w:val="20"/>
              </w:rPr>
              <w:t>What's happening</w:t>
            </w:r>
          </w:p>
        </w:tc>
        <w:tc>
          <w:tcPr>
            <w:tcW w:w="0" w:type="auto"/>
            <w:vAlign w:val="center"/>
            <w:hideMark/>
          </w:tcPr>
          <w:p w14:paraId="22479A42" w14:textId="77777777" w:rsidR="00C8368E" w:rsidRPr="00C8368E" w:rsidRDefault="00C8368E" w:rsidP="00C8368E">
            <w:pPr>
              <w:pStyle w:val="ListBullet"/>
              <w:rPr>
                <w:b/>
                <w:bCs/>
                <w:sz w:val="20"/>
                <w:szCs w:val="20"/>
              </w:rPr>
            </w:pPr>
            <w:r w:rsidRPr="00C8368E">
              <w:rPr>
                <w:b/>
                <w:bCs/>
                <w:sz w:val="20"/>
                <w:szCs w:val="20"/>
              </w:rPr>
              <w:t>Detectable by</w:t>
            </w:r>
          </w:p>
        </w:tc>
        <w:tc>
          <w:tcPr>
            <w:tcW w:w="0" w:type="auto"/>
            <w:vAlign w:val="center"/>
            <w:hideMark/>
          </w:tcPr>
          <w:p w14:paraId="2FF5A374" w14:textId="77777777" w:rsidR="00C8368E" w:rsidRPr="00C8368E" w:rsidRDefault="00C8368E" w:rsidP="00C8368E">
            <w:pPr>
              <w:pStyle w:val="ListBullet"/>
              <w:rPr>
                <w:b/>
                <w:bCs/>
                <w:sz w:val="20"/>
                <w:szCs w:val="20"/>
              </w:rPr>
            </w:pPr>
            <w:r w:rsidRPr="00C8368E">
              <w:rPr>
                <w:b/>
                <w:bCs/>
                <w:sz w:val="20"/>
                <w:szCs w:val="20"/>
              </w:rPr>
              <w:t>Timing before failure</w:t>
            </w:r>
          </w:p>
        </w:tc>
      </w:tr>
      <w:tr w:rsidR="00C8368E" w:rsidRPr="00C8368E" w14:paraId="08E02A2D" w14:textId="77777777">
        <w:trPr>
          <w:tblCellSpacing w:w="15" w:type="dxa"/>
        </w:trPr>
        <w:tc>
          <w:tcPr>
            <w:tcW w:w="0" w:type="auto"/>
            <w:vAlign w:val="center"/>
            <w:hideMark/>
          </w:tcPr>
          <w:p w14:paraId="0F15A504" w14:textId="77777777" w:rsidR="00C8368E" w:rsidRPr="00C8368E" w:rsidRDefault="00C8368E" w:rsidP="00C8368E">
            <w:pPr>
              <w:pStyle w:val="ListBullet"/>
              <w:rPr>
                <w:sz w:val="20"/>
                <w:szCs w:val="20"/>
              </w:rPr>
            </w:pPr>
            <w:r w:rsidRPr="00C8368E">
              <w:rPr>
                <w:sz w:val="20"/>
                <w:szCs w:val="20"/>
              </w:rPr>
              <w:t>Stage 1</w:t>
            </w:r>
          </w:p>
        </w:tc>
        <w:tc>
          <w:tcPr>
            <w:tcW w:w="0" w:type="auto"/>
            <w:vAlign w:val="center"/>
            <w:hideMark/>
          </w:tcPr>
          <w:p w14:paraId="4C68413A" w14:textId="77777777" w:rsidR="00C8368E" w:rsidRPr="00C8368E" w:rsidRDefault="00C8368E" w:rsidP="00C8368E">
            <w:pPr>
              <w:pStyle w:val="ListBullet"/>
              <w:rPr>
                <w:sz w:val="20"/>
                <w:szCs w:val="20"/>
              </w:rPr>
            </w:pPr>
            <w:r w:rsidRPr="00C8368E">
              <w:rPr>
                <w:sz w:val="20"/>
                <w:szCs w:val="20"/>
              </w:rPr>
              <w:t>Insufficient lubrication, earliest subsurface stress</w:t>
            </w:r>
          </w:p>
        </w:tc>
        <w:tc>
          <w:tcPr>
            <w:tcW w:w="0" w:type="auto"/>
            <w:vAlign w:val="center"/>
            <w:hideMark/>
          </w:tcPr>
          <w:p w14:paraId="569B1F71" w14:textId="77777777" w:rsidR="00C8368E" w:rsidRPr="00C8368E" w:rsidRDefault="00C8368E" w:rsidP="00C8368E">
            <w:pPr>
              <w:pStyle w:val="ListBullet"/>
              <w:rPr>
                <w:sz w:val="20"/>
                <w:szCs w:val="20"/>
              </w:rPr>
            </w:pPr>
            <w:r w:rsidRPr="00C8368E">
              <w:rPr>
                <w:sz w:val="20"/>
                <w:szCs w:val="20"/>
              </w:rPr>
              <w:t xml:space="preserve">Ultrasound (30–50 kHz) — </w:t>
            </w:r>
            <w:r w:rsidRPr="00C8368E">
              <w:rPr>
                <w:b/>
                <w:bCs/>
                <w:sz w:val="20"/>
                <w:szCs w:val="20"/>
              </w:rPr>
              <w:t>outside your IIS3DWB's range</w:t>
            </w:r>
          </w:p>
        </w:tc>
        <w:tc>
          <w:tcPr>
            <w:tcW w:w="0" w:type="auto"/>
            <w:vAlign w:val="center"/>
            <w:hideMark/>
          </w:tcPr>
          <w:p w14:paraId="181215EF" w14:textId="77777777" w:rsidR="00C8368E" w:rsidRPr="00C8368E" w:rsidRDefault="00C8368E" w:rsidP="00C8368E">
            <w:pPr>
              <w:pStyle w:val="ListBullet"/>
              <w:rPr>
                <w:sz w:val="20"/>
                <w:szCs w:val="20"/>
              </w:rPr>
            </w:pPr>
            <w:r w:rsidRPr="00C8368E">
              <w:rPr>
                <w:sz w:val="20"/>
                <w:szCs w:val="20"/>
              </w:rPr>
              <w:t>Earliest possible signal</w:t>
            </w:r>
          </w:p>
        </w:tc>
      </w:tr>
      <w:tr w:rsidR="00C8368E" w:rsidRPr="00C8368E" w14:paraId="79900635" w14:textId="77777777">
        <w:trPr>
          <w:tblCellSpacing w:w="15" w:type="dxa"/>
        </w:trPr>
        <w:tc>
          <w:tcPr>
            <w:tcW w:w="0" w:type="auto"/>
            <w:vAlign w:val="center"/>
            <w:hideMark/>
          </w:tcPr>
          <w:p w14:paraId="1ABEA43E" w14:textId="77777777" w:rsidR="00C8368E" w:rsidRPr="00C8368E" w:rsidRDefault="00C8368E" w:rsidP="00C8368E">
            <w:pPr>
              <w:pStyle w:val="ListBullet"/>
              <w:rPr>
                <w:sz w:val="20"/>
                <w:szCs w:val="20"/>
              </w:rPr>
            </w:pPr>
            <w:r w:rsidRPr="00C8368E">
              <w:rPr>
                <w:sz w:val="20"/>
                <w:szCs w:val="20"/>
              </w:rPr>
              <w:t>Stage 2</w:t>
            </w:r>
          </w:p>
        </w:tc>
        <w:tc>
          <w:tcPr>
            <w:tcW w:w="0" w:type="auto"/>
            <w:vAlign w:val="center"/>
            <w:hideMark/>
          </w:tcPr>
          <w:p w14:paraId="1EAF923A" w14:textId="77777777" w:rsidR="00C8368E" w:rsidRPr="00C8368E" w:rsidRDefault="00C8368E" w:rsidP="00C8368E">
            <w:pPr>
              <w:pStyle w:val="ListBullet"/>
              <w:rPr>
                <w:sz w:val="20"/>
                <w:szCs w:val="20"/>
              </w:rPr>
            </w:pPr>
            <w:r w:rsidRPr="00C8368E">
              <w:rPr>
                <w:sz w:val="20"/>
                <w:szCs w:val="20"/>
              </w:rPr>
              <w:t>Bearing fault begins, micro-cracks reach surface, bearing "rings" at natural frequencies</w:t>
            </w:r>
          </w:p>
        </w:tc>
        <w:tc>
          <w:tcPr>
            <w:tcW w:w="0" w:type="auto"/>
            <w:vAlign w:val="center"/>
            <w:hideMark/>
          </w:tcPr>
          <w:p w14:paraId="50897B48" w14:textId="77777777" w:rsidR="00C8368E" w:rsidRPr="00C8368E" w:rsidRDefault="00C8368E" w:rsidP="00C8368E">
            <w:pPr>
              <w:pStyle w:val="ListBullet"/>
              <w:rPr>
                <w:sz w:val="20"/>
                <w:szCs w:val="20"/>
              </w:rPr>
            </w:pPr>
            <w:r w:rsidRPr="00C8368E">
              <w:rPr>
                <w:sz w:val="20"/>
                <w:szCs w:val="20"/>
              </w:rPr>
              <w:t>Vibration (high-frequency energy rise)</w:t>
            </w:r>
          </w:p>
        </w:tc>
        <w:tc>
          <w:tcPr>
            <w:tcW w:w="0" w:type="auto"/>
            <w:vAlign w:val="center"/>
            <w:hideMark/>
          </w:tcPr>
          <w:p w14:paraId="454B6C8C" w14:textId="77777777" w:rsidR="00C8368E" w:rsidRPr="00C8368E" w:rsidRDefault="00C8368E" w:rsidP="00C8368E">
            <w:pPr>
              <w:pStyle w:val="ListBullet"/>
              <w:rPr>
                <w:sz w:val="20"/>
                <w:szCs w:val="20"/>
              </w:rPr>
            </w:pPr>
            <w:r w:rsidRPr="00C8368E">
              <w:rPr>
                <w:sz w:val="20"/>
                <w:szCs w:val="20"/>
              </w:rPr>
              <w:t>Weeks to months out</w:t>
            </w:r>
          </w:p>
        </w:tc>
      </w:tr>
      <w:tr w:rsidR="00C8368E" w:rsidRPr="00C8368E" w14:paraId="6F54E839" w14:textId="77777777">
        <w:trPr>
          <w:tblCellSpacing w:w="15" w:type="dxa"/>
        </w:trPr>
        <w:tc>
          <w:tcPr>
            <w:tcW w:w="0" w:type="auto"/>
            <w:vAlign w:val="center"/>
            <w:hideMark/>
          </w:tcPr>
          <w:p w14:paraId="254B06CF" w14:textId="77777777" w:rsidR="00C8368E" w:rsidRPr="00C8368E" w:rsidRDefault="00C8368E" w:rsidP="00C8368E">
            <w:pPr>
              <w:pStyle w:val="ListBullet"/>
              <w:rPr>
                <w:sz w:val="20"/>
                <w:szCs w:val="20"/>
              </w:rPr>
            </w:pPr>
            <w:r w:rsidRPr="00C8368E">
              <w:rPr>
                <w:sz w:val="20"/>
                <w:szCs w:val="20"/>
              </w:rPr>
              <w:t>Stage 3</w:t>
            </w:r>
          </w:p>
        </w:tc>
        <w:tc>
          <w:tcPr>
            <w:tcW w:w="0" w:type="auto"/>
            <w:vAlign w:val="center"/>
            <w:hideMark/>
          </w:tcPr>
          <w:p w14:paraId="4A50E7E0" w14:textId="77777777" w:rsidR="00C8368E" w:rsidRPr="00C8368E" w:rsidRDefault="00C8368E" w:rsidP="00C8368E">
            <w:pPr>
              <w:pStyle w:val="ListBullet"/>
              <w:rPr>
                <w:sz w:val="20"/>
                <w:szCs w:val="20"/>
              </w:rPr>
            </w:pPr>
            <w:r w:rsidRPr="00C8368E">
              <w:rPr>
                <w:sz w:val="20"/>
                <w:szCs w:val="20"/>
              </w:rPr>
              <w:t>Fault frequencies (BPFO/BPFI/BSF) clearly visible in FFT spectrum</w:t>
            </w:r>
          </w:p>
        </w:tc>
        <w:tc>
          <w:tcPr>
            <w:tcW w:w="0" w:type="auto"/>
            <w:vAlign w:val="center"/>
            <w:hideMark/>
          </w:tcPr>
          <w:p w14:paraId="1CDC4A74" w14:textId="77777777" w:rsidR="00C8368E" w:rsidRPr="00C8368E" w:rsidRDefault="00C8368E" w:rsidP="00C8368E">
            <w:pPr>
              <w:pStyle w:val="ListBullet"/>
              <w:rPr>
                <w:sz w:val="20"/>
                <w:szCs w:val="20"/>
              </w:rPr>
            </w:pPr>
            <w:r w:rsidRPr="00C8368E">
              <w:rPr>
                <w:sz w:val="20"/>
                <w:szCs w:val="20"/>
              </w:rPr>
              <w:t xml:space="preserve">Vibration FFT — </w:t>
            </w:r>
            <w:r w:rsidRPr="00C8368E">
              <w:rPr>
                <w:b/>
                <w:bCs/>
                <w:sz w:val="20"/>
                <w:szCs w:val="20"/>
              </w:rPr>
              <w:t>this is your sensor's sweet spot</w:t>
            </w:r>
          </w:p>
        </w:tc>
        <w:tc>
          <w:tcPr>
            <w:tcW w:w="0" w:type="auto"/>
            <w:vAlign w:val="center"/>
            <w:hideMark/>
          </w:tcPr>
          <w:p w14:paraId="4A2101F5" w14:textId="77777777" w:rsidR="00C8368E" w:rsidRPr="00C8368E" w:rsidRDefault="00C8368E" w:rsidP="00C8368E">
            <w:pPr>
              <w:pStyle w:val="ListBullet"/>
              <w:rPr>
                <w:sz w:val="20"/>
                <w:szCs w:val="20"/>
              </w:rPr>
            </w:pPr>
            <w:r w:rsidRPr="00C8368E">
              <w:rPr>
                <w:sz w:val="20"/>
                <w:szCs w:val="20"/>
              </w:rPr>
              <w:t xml:space="preserve">This is cited as the </w:t>
            </w:r>
            <w:r w:rsidRPr="00C8368E">
              <w:rPr>
                <w:i/>
                <w:iCs/>
                <w:sz w:val="20"/>
                <w:szCs w:val="20"/>
              </w:rPr>
              <w:t>optimal</w:t>
            </w:r>
            <w:r w:rsidRPr="00C8368E">
              <w:rPr>
                <w:sz w:val="20"/>
                <w:szCs w:val="20"/>
              </w:rPr>
              <w:t xml:space="preserve"> intervention point — clear signature, still time to plan repair</w:t>
            </w:r>
          </w:p>
        </w:tc>
      </w:tr>
      <w:tr w:rsidR="00C8368E" w:rsidRPr="00C8368E" w14:paraId="1BCD7C32" w14:textId="77777777">
        <w:trPr>
          <w:tblCellSpacing w:w="15" w:type="dxa"/>
        </w:trPr>
        <w:tc>
          <w:tcPr>
            <w:tcW w:w="0" w:type="auto"/>
            <w:vAlign w:val="center"/>
            <w:hideMark/>
          </w:tcPr>
          <w:p w14:paraId="275DB2D8" w14:textId="77777777" w:rsidR="00C8368E" w:rsidRPr="00C8368E" w:rsidRDefault="00C8368E" w:rsidP="00C8368E">
            <w:pPr>
              <w:pStyle w:val="ListBullet"/>
              <w:rPr>
                <w:sz w:val="20"/>
                <w:szCs w:val="20"/>
              </w:rPr>
            </w:pPr>
            <w:r w:rsidRPr="00C8368E">
              <w:rPr>
                <w:sz w:val="20"/>
                <w:szCs w:val="20"/>
              </w:rPr>
              <w:lastRenderedPageBreak/>
              <w:t>Stage 4</w:t>
            </w:r>
          </w:p>
        </w:tc>
        <w:tc>
          <w:tcPr>
            <w:tcW w:w="0" w:type="auto"/>
            <w:vAlign w:val="center"/>
            <w:hideMark/>
          </w:tcPr>
          <w:p w14:paraId="50A2BDBE" w14:textId="77777777" w:rsidR="00C8368E" w:rsidRPr="00C8368E" w:rsidRDefault="00C8368E" w:rsidP="00C8368E">
            <w:pPr>
              <w:pStyle w:val="ListBullet"/>
              <w:rPr>
                <w:sz w:val="20"/>
                <w:szCs w:val="20"/>
              </w:rPr>
            </w:pPr>
            <w:r w:rsidRPr="00C8368E">
              <w:rPr>
                <w:sz w:val="20"/>
                <w:szCs w:val="20"/>
              </w:rPr>
              <w:t>Broadband vibration increase, audible noise, heat generation</w:t>
            </w:r>
          </w:p>
        </w:tc>
        <w:tc>
          <w:tcPr>
            <w:tcW w:w="0" w:type="auto"/>
            <w:vAlign w:val="center"/>
            <w:hideMark/>
          </w:tcPr>
          <w:p w14:paraId="0E56017C" w14:textId="77777777" w:rsidR="00C8368E" w:rsidRPr="00C8368E" w:rsidRDefault="00C8368E" w:rsidP="00C8368E">
            <w:pPr>
              <w:pStyle w:val="ListBullet"/>
              <w:rPr>
                <w:sz w:val="20"/>
                <w:szCs w:val="20"/>
              </w:rPr>
            </w:pPr>
            <w:r w:rsidRPr="00C8368E">
              <w:rPr>
                <w:sz w:val="20"/>
                <w:szCs w:val="20"/>
              </w:rPr>
              <w:t>Vibration (severe), temperature (now finally relevant), audible</w:t>
            </w:r>
          </w:p>
        </w:tc>
        <w:tc>
          <w:tcPr>
            <w:tcW w:w="0" w:type="auto"/>
            <w:vAlign w:val="center"/>
            <w:hideMark/>
          </w:tcPr>
          <w:p w14:paraId="1483B543" w14:textId="77777777" w:rsidR="00C8368E" w:rsidRPr="00C8368E" w:rsidRDefault="00C8368E" w:rsidP="00C8368E">
            <w:pPr>
              <w:pStyle w:val="ListBullet"/>
              <w:rPr>
                <w:sz w:val="20"/>
                <w:szCs w:val="20"/>
              </w:rPr>
            </w:pPr>
            <w:r w:rsidRPr="00C8368E">
              <w:rPr>
                <w:sz w:val="20"/>
                <w:szCs w:val="20"/>
              </w:rPr>
              <w:t>Failure imminent, days at most</w:t>
            </w:r>
          </w:p>
        </w:tc>
      </w:tr>
    </w:tbl>
    <w:p w14:paraId="35224E20" w14:textId="77777777" w:rsidR="00C8368E" w:rsidRPr="00C8368E" w:rsidRDefault="00C8368E" w:rsidP="00C8368E">
      <w:pPr>
        <w:pStyle w:val="ListBullet"/>
        <w:rPr>
          <w:sz w:val="20"/>
          <w:szCs w:val="20"/>
        </w:rPr>
      </w:pPr>
      <w:r w:rsidRPr="00C8368E">
        <w:rPr>
          <w:b/>
          <w:bCs/>
          <w:sz w:val="20"/>
          <w:szCs w:val="20"/>
        </w:rPr>
        <w:t>Key honest finding for your documentation:</w:t>
      </w:r>
      <w:r w:rsidRPr="00C8368E">
        <w:rPr>
          <w:sz w:val="20"/>
          <w:szCs w:val="20"/>
        </w:rPr>
        <w:t xml:space="preserve"> temperature is a </w:t>
      </w:r>
      <w:r w:rsidRPr="00C8368E">
        <w:rPr>
          <w:i/>
          <w:iCs/>
          <w:sz w:val="20"/>
          <w:szCs w:val="20"/>
        </w:rPr>
        <w:t>late-stage</w:t>
      </w:r>
      <w:r w:rsidRPr="00C8368E">
        <w:rPr>
          <w:sz w:val="20"/>
          <w:szCs w:val="20"/>
        </w:rPr>
        <w:t xml:space="preserve"> indicator for bearing faults specifically — by the time a bearing is measurably hotter, it's often already at Stage 4. Vibration is doing the real early-warning work here; temperature is more of a confirmation/severity signal for this particular fault type, not primary detection. Worth stating explicitly rather than implying all three sensors contribute equally to every fault.</w:t>
      </w:r>
    </w:p>
    <w:p w14:paraId="001BF1CD" w14:textId="77777777" w:rsidR="00C8368E" w:rsidRPr="00C8368E" w:rsidRDefault="00C8368E" w:rsidP="00C8368E">
      <w:pPr>
        <w:pStyle w:val="ListBullet"/>
        <w:rPr>
          <w:b/>
          <w:bCs/>
          <w:sz w:val="20"/>
          <w:szCs w:val="20"/>
        </w:rPr>
      </w:pPr>
      <w:r w:rsidRPr="00C8368E">
        <w:rPr>
          <w:b/>
          <w:bCs/>
          <w:sz w:val="20"/>
          <w:szCs w:val="20"/>
        </w:rPr>
        <w:t>2. Stator Winding Faults (second largest category — your current sensor's job)</w:t>
      </w:r>
    </w:p>
    <w:p w14:paraId="4B180696" w14:textId="77777777" w:rsidR="00C8368E" w:rsidRPr="00C8368E" w:rsidRDefault="00C8368E" w:rsidP="00C8368E">
      <w:pPr>
        <w:pStyle w:val="ListBullet"/>
        <w:rPr>
          <w:sz w:val="20"/>
          <w:szCs w:val="20"/>
        </w:rPr>
      </w:pPr>
      <w:r w:rsidRPr="00C8368E">
        <w:rPr>
          <w:b/>
          <w:bCs/>
          <w:sz w:val="20"/>
          <w:szCs w:val="20"/>
        </w:rPr>
        <w:t>What physically happens:</w:t>
      </w:r>
      <w:r w:rsidRPr="00C8368E">
        <w:rPr>
          <w:sz w:val="20"/>
          <w:szCs w:val="20"/>
        </w:rPr>
        <w:t xml:space="preserve"> Insulation breakdown between winding turns, starting as a localized inter-turn short circuit within a single phase, which — if undetected — cascades into phase-to-phase or phase-to-ground faults and eventually catastrophic winding failure. Root causes are typically thermal aging, voltage stress, or contamination degrading the insulation over time.</w:t>
      </w:r>
    </w:p>
    <w:p w14:paraId="73C17C69" w14:textId="77777777" w:rsidR="00C8368E" w:rsidRPr="00C8368E" w:rsidRDefault="00C8368E" w:rsidP="00C8368E">
      <w:pPr>
        <w:pStyle w:val="ListBullet"/>
        <w:rPr>
          <w:sz w:val="20"/>
          <w:szCs w:val="20"/>
        </w:rPr>
      </w:pPr>
      <w:r w:rsidRPr="00C8368E">
        <w:rPr>
          <w:b/>
          <w:bCs/>
          <w:sz w:val="20"/>
          <w:szCs w:val="20"/>
        </w:rPr>
        <w:t>Detection:</w:t>
      </w:r>
      <w:r w:rsidRPr="00C8368E">
        <w:rPr>
          <w:sz w:val="20"/>
          <w:szCs w:val="20"/>
        </w:rPr>
        <w:t xml:space="preserve"> This is squarely MCSA's job — an inter-turn short circuit creates asymmetry in the stator's magnetic field, which shows up as specific harmonic sidebands in the current spectrum before the fault has progressed far enough to trip protection or cause visible damage. This is a genuinely predictive signal, not just a "motor is already dying" signal — a single shorted turn is detectable well before it cascades into a multi-phase fault.</w:t>
      </w:r>
    </w:p>
    <w:p w14:paraId="60CEC127" w14:textId="77777777" w:rsidR="00C8368E" w:rsidRPr="00C8368E" w:rsidRDefault="00C8368E" w:rsidP="00C8368E">
      <w:pPr>
        <w:pStyle w:val="ListBullet"/>
        <w:rPr>
          <w:sz w:val="20"/>
          <w:szCs w:val="20"/>
        </w:rPr>
      </w:pPr>
      <w:r w:rsidRPr="00C8368E">
        <w:rPr>
          <w:b/>
          <w:bCs/>
          <w:sz w:val="20"/>
          <w:szCs w:val="20"/>
        </w:rPr>
        <w:t>Temperature's role here:</w:t>
      </w:r>
      <w:r w:rsidRPr="00C8368E">
        <w:rPr>
          <w:sz w:val="20"/>
          <w:szCs w:val="20"/>
        </w:rPr>
        <w:t xml:space="preserve"> actually more useful for this fault than for bearings — insulation degradation is often thermally driven and self-accelerating (a developing short generates localized heat, which further degrades insulation, which worsens the short). Your PT100/SHT31 data can provide corroborating evidence and even leading indication if you're tracking gradual thermal trends over time, not just instantaneous readings.</w:t>
      </w:r>
    </w:p>
    <w:p w14:paraId="76D4DC7E" w14:textId="77777777" w:rsidR="00C8368E" w:rsidRPr="00C8368E" w:rsidRDefault="00C8368E" w:rsidP="00C8368E">
      <w:pPr>
        <w:pStyle w:val="ListBullet"/>
        <w:rPr>
          <w:b/>
          <w:bCs/>
          <w:sz w:val="20"/>
          <w:szCs w:val="20"/>
        </w:rPr>
      </w:pPr>
      <w:r w:rsidRPr="00C8368E">
        <w:rPr>
          <w:b/>
          <w:bCs/>
          <w:sz w:val="20"/>
          <w:szCs w:val="20"/>
        </w:rPr>
        <w:t>3. Rotor Faults — Broken Bars (smaller category, but your project already covers it)</w:t>
      </w:r>
    </w:p>
    <w:p w14:paraId="5F1BBA1E" w14:textId="77777777" w:rsidR="00C8368E" w:rsidRPr="00C8368E" w:rsidRDefault="00C8368E" w:rsidP="00C8368E">
      <w:pPr>
        <w:pStyle w:val="ListBullet"/>
        <w:rPr>
          <w:sz w:val="20"/>
          <w:szCs w:val="20"/>
        </w:rPr>
      </w:pPr>
      <w:r w:rsidRPr="00C8368E">
        <w:rPr>
          <w:b/>
          <w:bCs/>
          <w:sz w:val="20"/>
          <w:szCs w:val="20"/>
        </w:rPr>
        <w:t>What physically happens:</w:t>
      </w:r>
      <w:r w:rsidRPr="00C8368E">
        <w:rPr>
          <w:sz w:val="20"/>
          <w:szCs w:val="20"/>
        </w:rPr>
        <w:t xml:space="preserve"> Cracks or breaks in the rotor's conducting bars or end-rings, usually from thermal cycling stress during frequent starts/stops (a detail relevant to your fridge/AC compressor testbeds, which cycle on/off constantly — actually a realistic stress pattern, not just a convenient dev proxy).</w:t>
      </w:r>
    </w:p>
    <w:p w14:paraId="45C003EA" w14:textId="77777777" w:rsidR="00C8368E" w:rsidRPr="00C8368E" w:rsidRDefault="00C8368E" w:rsidP="00C8368E">
      <w:pPr>
        <w:pStyle w:val="ListBullet"/>
        <w:rPr>
          <w:sz w:val="20"/>
          <w:szCs w:val="20"/>
        </w:rPr>
      </w:pPr>
      <w:r w:rsidRPr="00C8368E">
        <w:rPr>
          <w:b/>
          <w:bCs/>
          <w:sz w:val="20"/>
          <w:szCs w:val="20"/>
        </w:rPr>
        <w:t>Detection:</w:t>
      </w:r>
      <w:r w:rsidRPr="00C8368E">
        <w:rPr>
          <w:sz w:val="20"/>
          <w:szCs w:val="20"/>
        </w:rPr>
        <w:t xml:space="preserve"> Classic MCSA sideband analysis around the fundamental frequency, driven by slip — this is the technique your whole current-sensing architecture is built around. Progresses more gradually than you'd think; a single broken bar is often detectable current-signature-wise well before it causes noticeable performance loss.</w:t>
      </w:r>
    </w:p>
    <w:p w14:paraId="7262FAE0" w14:textId="77777777" w:rsidR="00C8368E" w:rsidRPr="00C8368E" w:rsidRDefault="00C8368E" w:rsidP="00C8368E">
      <w:pPr>
        <w:pStyle w:val="ListBullet"/>
        <w:rPr>
          <w:b/>
          <w:bCs/>
          <w:sz w:val="20"/>
          <w:szCs w:val="20"/>
        </w:rPr>
      </w:pPr>
      <w:r w:rsidRPr="00C8368E">
        <w:rPr>
          <w:b/>
          <w:bCs/>
          <w:sz w:val="20"/>
          <w:szCs w:val="20"/>
        </w:rPr>
        <w:t>Synthesis: What Each Sensor Is Actually Good At (Be Honest About This in Your Docs)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3777"/>
        <w:gridCol w:w="3285"/>
      </w:tblGrid>
      <w:tr w:rsidR="00C8368E" w:rsidRPr="00C8368E" w14:paraId="5E5F4C6E" w14:textId="77777777">
        <w:trPr>
          <w:tblHeader/>
          <w:tblCellSpacing w:w="15" w:type="dxa"/>
        </w:trPr>
        <w:tc>
          <w:tcPr>
            <w:tcW w:w="0" w:type="auto"/>
            <w:vAlign w:val="center"/>
            <w:hideMark/>
          </w:tcPr>
          <w:p w14:paraId="5A3F5F88" w14:textId="77777777" w:rsidR="00C8368E" w:rsidRPr="00C8368E" w:rsidRDefault="00C8368E" w:rsidP="00C8368E">
            <w:pPr>
              <w:pStyle w:val="ListBullet"/>
              <w:rPr>
                <w:b/>
                <w:bCs/>
                <w:sz w:val="20"/>
                <w:szCs w:val="20"/>
              </w:rPr>
            </w:pPr>
            <w:r w:rsidRPr="00C8368E">
              <w:rPr>
                <w:b/>
                <w:bCs/>
                <w:sz w:val="20"/>
                <w:szCs w:val="20"/>
              </w:rPr>
              <w:t>Sensor</w:t>
            </w:r>
          </w:p>
        </w:tc>
        <w:tc>
          <w:tcPr>
            <w:tcW w:w="0" w:type="auto"/>
            <w:vAlign w:val="center"/>
            <w:hideMark/>
          </w:tcPr>
          <w:p w14:paraId="4C40BD7F" w14:textId="77777777" w:rsidR="00C8368E" w:rsidRPr="00C8368E" w:rsidRDefault="00C8368E" w:rsidP="00C8368E">
            <w:pPr>
              <w:pStyle w:val="ListBullet"/>
              <w:rPr>
                <w:b/>
                <w:bCs/>
                <w:sz w:val="20"/>
                <w:szCs w:val="20"/>
              </w:rPr>
            </w:pPr>
            <w:r w:rsidRPr="00C8368E">
              <w:rPr>
                <w:b/>
                <w:bCs/>
                <w:sz w:val="20"/>
                <w:szCs w:val="20"/>
              </w:rPr>
              <w:t>Best at</w:t>
            </w:r>
          </w:p>
        </w:tc>
        <w:tc>
          <w:tcPr>
            <w:tcW w:w="0" w:type="auto"/>
            <w:vAlign w:val="center"/>
            <w:hideMark/>
          </w:tcPr>
          <w:p w14:paraId="6AB289D9" w14:textId="77777777" w:rsidR="00C8368E" w:rsidRPr="00C8368E" w:rsidRDefault="00C8368E" w:rsidP="00C8368E">
            <w:pPr>
              <w:pStyle w:val="ListBullet"/>
              <w:rPr>
                <w:b/>
                <w:bCs/>
                <w:sz w:val="20"/>
                <w:szCs w:val="20"/>
              </w:rPr>
            </w:pPr>
            <w:r w:rsidRPr="00C8368E">
              <w:rPr>
                <w:b/>
                <w:bCs/>
                <w:sz w:val="20"/>
                <w:szCs w:val="20"/>
              </w:rPr>
              <w:t>Weaker at</w:t>
            </w:r>
          </w:p>
        </w:tc>
      </w:tr>
      <w:tr w:rsidR="00C8368E" w:rsidRPr="00C8368E" w14:paraId="74A44ADA" w14:textId="77777777">
        <w:trPr>
          <w:tblCellSpacing w:w="15" w:type="dxa"/>
        </w:trPr>
        <w:tc>
          <w:tcPr>
            <w:tcW w:w="0" w:type="auto"/>
            <w:vAlign w:val="center"/>
            <w:hideMark/>
          </w:tcPr>
          <w:p w14:paraId="090408CE" w14:textId="77777777" w:rsidR="00C8368E" w:rsidRPr="00C8368E" w:rsidRDefault="00C8368E" w:rsidP="00C8368E">
            <w:pPr>
              <w:pStyle w:val="ListBullet"/>
              <w:rPr>
                <w:sz w:val="20"/>
                <w:szCs w:val="20"/>
              </w:rPr>
            </w:pPr>
            <w:r w:rsidRPr="00C8368E">
              <w:rPr>
                <w:b/>
                <w:bCs/>
                <w:sz w:val="20"/>
                <w:szCs w:val="20"/>
              </w:rPr>
              <w:t>Vibration (IIS3DWB)</w:t>
            </w:r>
          </w:p>
        </w:tc>
        <w:tc>
          <w:tcPr>
            <w:tcW w:w="0" w:type="auto"/>
            <w:vAlign w:val="center"/>
            <w:hideMark/>
          </w:tcPr>
          <w:p w14:paraId="7AD28F70" w14:textId="77777777" w:rsidR="00C8368E" w:rsidRPr="00C8368E" w:rsidRDefault="00C8368E" w:rsidP="00C8368E">
            <w:pPr>
              <w:pStyle w:val="ListBullet"/>
              <w:rPr>
                <w:sz w:val="20"/>
                <w:szCs w:val="20"/>
              </w:rPr>
            </w:pPr>
            <w:r w:rsidRPr="00C8368E">
              <w:rPr>
                <w:sz w:val="20"/>
                <w:szCs w:val="20"/>
              </w:rPr>
              <w:t>Bearing faults — genuinely early-warning, weeks-to-months lead time at Stage 2–3</w:t>
            </w:r>
          </w:p>
        </w:tc>
        <w:tc>
          <w:tcPr>
            <w:tcW w:w="0" w:type="auto"/>
            <w:vAlign w:val="center"/>
            <w:hideMark/>
          </w:tcPr>
          <w:p w14:paraId="7AD5BC43" w14:textId="77777777" w:rsidR="00C8368E" w:rsidRPr="00C8368E" w:rsidRDefault="00C8368E" w:rsidP="00C8368E">
            <w:pPr>
              <w:pStyle w:val="ListBullet"/>
              <w:rPr>
                <w:sz w:val="20"/>
                <w:szCs w:val="20"/>
              </w:rPr>
            </w:pPr>
            <w:r w:rsidRPr="00C8368E">
              <w:rPr>
                <w:sz w:val="20"/>
                <w:szCs w:val="20"/>
              </w:rPr>
              <w:t>Doesn't directly see electrical/winding faults</w:t>
            </w:r>
          </w:p>
        </w:tc>
      </w:tr>
      <w:tr w:rsidR="00C8368E" w:rsidRPr="00C8368E" w14:paraId="7FC05FB4" w14:textId="77777777">
        <w:trPr>
          <w:tblCellSpacing w:w="15" w:type="dxa"/>
        </w:trPr>
        <w:tc>
          <w:tcPr>
            <w:tcW w:w="0" w:type="auto"/>
            <w:vAlign w:val="center"/>
            <w:hideMark/>
          </w:tcPr>
          <w:p w14:paraId="5DD8786B" w14:textId="77777777" w:rsidR="00C8368E" w:rsidRPr="00C8368E" w:rsidRDefault="00C8368E" w:rsidP="00C8368E">
            <w:pPr>
              <w:pStyle w:val="ListBullet"/>
              <w:rPr>
                <w:sz w:val="20"/>
                <w:szCs w:val="20"/>
              </w:rPr>
            </w:pPr>
            <w:r w:rsidRPr="00C8368E">
              <w:rPr>
                <w:b/>
                <w:bCs/>
                <w:sz w:val="20"/>
                <w:szCs w:val="20"/>
              </w:rPr>
              <w:t>Current (CT + MCSA)</w:t>
            </w:r>
          </w:p>
        </w:tc>
        <w:tc>
          <w:tcPr>
            <w:tcW w:w="0" w:type="auto"/>
            <w:vAlign w:val="center"/>
            <w:hideMark/>
          </w:tcPr>
          <w:p w14:paraId="54907803" w14:textId="77777777" w:rsidR="00C8368E" w:rsidRPr="00C8368E" w:rsidRDefault="00C8368E" w:rsidP="00C8368E">
            <w:pPr>
              <w:pStyle w:val="ListBullet"/>
              <w:rPr>
                <w:sz w:val="20"/>
                <w:szCs w:val="20"/>
              </w:rPr>
            </w:pPr>
            <w:r w:rsidRPr="00C8368E">
              <w:rPr>
                <w:sz w:val="20"/>
                <w:szCs w:val="20"/>
              </w:rPr>
              <w:t>Stator winding faults, broken rotor bars — early, before cascading</w:t>
            </w:r>
          </w:p>
        </w:tc>
        <w:tc>
          <w:tcPr>
            <w:tcW w:w="0" w:type="auto"/>
            <w:vAlign w:val="center"/>
            <w:hideMark/>
          </w:tcPr>
          <w:p w14:paraId="4558EE72" w14:textId="77777777" w:rsidR="00C8368E" w:rsidRPr="00C8368E" w:rsidRDefault="00C8368E" w:rsidP="00C8368E">
            <w:pPr>
              <w:pStyle w:val="ListBullet"/>
              <w:rPr>
                <w:sz w:val="20"/>
                <w:szCs w:val="20"/>
              </w:rPr>
            </w:pPr>
            <w:r w:rsidRPr="00C8368E">
              <w:rPr>
                <w:sz w:val="20"/>
                <w:szCs w:val="20"/>
              </w:rPr>
              <w:t>Doesn't see purely mechanical bearing wear until it's severe enough to show up as load irregularity</w:t>
            </w:r>
          </w:p>
        </w:tc>
      </w:tr>
      <w:tr w:rsidR="00C8368E" w:rsidRPr="00C8368E" w14:paraId="4B45DE75" w14:textId="77777777">
        <w:trPr>
          <w:tblCellSpacing w:w="15" w:type="dxa"/>
        </w:trPr>
        <w:tc>
          <w:tcPr>
            <w:tcW w:w="0" w:type="auto"/>
            <w:vAlign w:val="center"/>
            <w:hideMark/>
          </w:tcPr>
          <w:p w14:paraId="122489DC" w14:textId="77777777" w:rsidR="00C8368E" w:rsidRPr="00C8368E" w:rsidRDefault="00C8368E" w:rsidP="00C8368E">
            <w:pPr>
              <w:pStyle w:val="ListBullet"/>
              <w:rPr>
                <w:sz w:val="20"/>
                <w:szCs w:val="20"/>
              </w:rPr>
            </w:pPr>
            <w:r w:rsidRPr="00C8368E">
              <w:rPr>
                <w:b/>
                <w:bCs/>
                <w:sz w:val="20"/>
                <w:szCs w:val="20"/>
              </w:rPr>
              <w:lastRenderedPageBreak/>
              <w:t>Temperature (PT100/SHT31)</w:t>
            </w:r>
          </w:p>
        </w:tc>
        <w:tc>
          <w:tcPr>
            <w:tcW w:w="0" w:type="auto"/>
            <w:vAlign w:val="center"/>
            <w:hideMark/>
          </w:tcPr>
          <w:p w14:paraId="1EC96E01" w14:textId="77777777" w:rsidR="00C8368E" w:rsidRPr="00C8368E" w:rsidRDefault="00C8368E" w:rsidP="00C8368E">
            <w:pPr>
              <w:pStyle w:val="ListBullet"/>
              <w:rPr>
                <w:sz w:val="20"/>
                <w:szCs w:val="20"/>
              </w:rPr>
            </w:pPr>
            <w:r w:rsidRPr="00C8368E">
              <w:rPr>
                <w:sz w:val="20"/>
                <w:szCs w:val="20"/>
              </w:rPr>
              <w:t>Confirming/corroborating signal, especially useful for thermally-driven insulation degradation trends</w:t>
            </w:r>
          </w:p>
        </w:tc>
        <w:tc>
          <w:tcPr>
            <w:tcW w:w="0" w:type="auto"/>
            <w:vAlign w:val="center"/>
            <w:hideMark/>
          </w:tcPr>
          <w:p w14:paraId="308DCEDE" w14:textId="77777777" w:rsidR="00C8368E" w:rsidRPr="00C8368E" w:rsidRDefault="00C8368E" w:rsidP="00C8368E">
            <w:pPr>
              <w:pStyle w:val="ListBullet"/>
              <w:rPr>
                <w:sz w:val="20"/>
                <w:szCs w:val="20"/>
              </w:rPr>
            </w:pPr>
            <w:r w:rsidRPr="00C8368E">
              <w:rPr>
                <w:sz w:val="20"/>
                <w:szCs w:val="20"/>
              </w:rPr>
              <w:t xml:space="preserve">Generally a </w:t>
            </w:r>
            <w:r w:rsidRPr="00C8368E">
              <w:rPr>
                <w:i/>
                <w:iCs/>
                <w:sz w:val="20"/>
                <w:szCs w:val="20"/>
              </w:rPr>
              <w:t>lagging</w:t>
            </w:r>
            <w:r w:rsidRPr="00C8368E">
              <w:rPr>
                <w:sz w:val="20"/>
                <w:szCs w:val="20"/>
              </w:rPr>
              <w:t xml:space="preserve"> indicator for bearing faults specifically — by the time it's hot, damage is advanced</w:t>
            </w:r>
          </w:p>
        </w:tc>
      </w:tr>
    </w:tbl>
    <w:p w14:paraId="5274171A" w14:textId="77777777" w:rsidR="00C8368E" w:rsidRPr="00C8368E" w:rsidRDefault="00C8368E" w:rsidP="00C8368E">
      <w:pPr>
        <w:pStyle w:val="ListBullet"/>
        <w:rPr>
          <w:sz w:val="20"/>
          <w:szCs w:val="20"/>
        </w:rPr>
      </w:pPr>
      <w:r w:rsidRPr="00C8368E">
        <w:rPr>
          <w:sz w:val="20"/>
          <w:szCs w:val="20"/>
        </w:rPr>
        <w:t xml:space="preserve">This is actually a strong finding for your documentation: </w:t>
      </w:r>
      <w:r w:rsidRPr="00C8368E">
        <w:rPr>
          <w:b/>
          <w:bCs/>
          <w:sz w:val="20"/>
          <w:szCs w:val="20"/>
        </w:rPr>
        <w:t>your three sensors aren't three redundant views of "motor health" — they're three largely non-overlapping fault-detection channels</w:t>
      </w:r>
      <w:r w:rsidRPr="00C8368E">
        <w:rPr>
          <w:sz w:val="20"/>
          <w:szCs w:val="20"/>
        </w:rPr>
        <w:t>, each primarily responsible for a different failure category, with temperature acting more as a cross-validation/trend signal than a primary detector for most faults. That's a mature systems-design insight worth stating explicitly rather than assuming multi-sensor fusion is valuable in some vague, unspecified way.</w:t>
      </w:r>
    </w:p>
    <w:p w14:paraId="4AA7302A" w14:textId="77777777" w:rsidR="00C8368E" w:rsidRPr="00C8368E" w:rsidRDefault="00C8368E" w:rsidP="00C8368E">
      <w:pPr>
        <w:pStyle w:val="ListBullet"/>
        <w:rPr>
          <w:b/>
          <w:bCs/>
          <w:sz w:val="20"/>
          <w:szCs w:val="20"/>
        </w:rPr>
      </w:pPr>
      <w:r w:rsidRPr="00C8368E">
        <w:rPr>
          <w:b/>
          <w:bCs/>
          <w:sz w:val="20"/>
          <w:szCs w:val="20"/>
        </w:rPr>
        <w:t>Common Mistakes to Avoid</w:t>
      </w:r>
    </w:p>
    <w:p w14:paraId="0AEF8E6F" w14:textId="77777777" w:rsidR="00C8368E" w:rsidRPr="00C8368E" w:rsidRDefault="00C8368E" w:rsidP="00C8368E">
      <w:pPr>
        <w:pStyle w:val="ListBullet"/>
        <w:rPr>
          <w:sz w:val="20"/>
          <w:szCs w:val="20"/>
        </w:rPr>
      </w:pPr>
      <w:r w:rsidRPr="00C8368E">
        <w:rPr>
          <w:sz w:val="20"/>
          <w:szCs w:val="20"/>
        </w:rPr>
        <w:t xml:space="preserve">Treating this as "three sensors, more data is better" without articulating </w:t>
      </w:r>
      <w:r w:rsidRPr="00C8368E">
        <w:rPr>
          <w:i/>
          <w:iCs/>
          <w:sz w:val="20"/>
          <w:szCs w:val="20"/>
        </w:rPr>
        <w:t>which</w:t>
      </w:r>
      <w:r w:rsidRPr="00C8368E">
        <w:rPr>
          <w:sz w:val="20"/>
          <w:szCs w:val="20"/>
        </w:rPr>
        <w:t xml:space="preserve"> sensor catches </w:t>
      </w:r>
      <w:r w:rsidRPr="00C8368E">
        <w:rPr>
          <w:i/>
          <w:iCs/>
          <w:sz w:val="20"/>
          <w:szCs w:val="20"/>
        </w:rPr>
        <w:t>which</w:t>
      </w:r>
      <w:r w:rsidRPr="00C8368E">
        <w:rPr>
          <w:sz w:val="20"/>
          <w:szCs w:val="20"/>
        </w:rPr>
        <w:t xml:space="preserve"> fault at </w:t>
      </w:r>
      <w:r w:rsidRPr="00C8368E">
        <w:rPr>
          <w:i/>
          <w:iCs/>
          <w:sz w:val="20"/>
          <w:szCs w:val="20"/>
        </w:rPr>
        <w:t>which</w:t>
      </w:r>
      <w:r w:rsidRPr="00C8368E">
        <w:rPr>
          <w:sz w:val="20"/>
          <w:szCs w:val="20"/>
        </w:rPr>
        <w:t xml:space="preserve"> stage — that's the difference between a real multi-modal fault-detection architecture and just throwing sensors at a motor and hoping ML sorts it out.</w:t>
      </w:r>
    </w:p>
    <w:p w14:paraId="2337DD44" w14:textId="77777777" w:rsidR="00C8368E" w:rsidRPr="00C8368E" w:rsidRDefault="00C8368E" w:rsidP="00C8368E">
      <w:pPr>
        <w:pStyle w:val="ListBullet"/>
        <w:rPr>
          <w:b/>
          <w:bCs/>
          <w:sz w:val="20"/>
          <w:szCs w:val="20"/>
        </w:rPr>
      </w:pPr>
      <w:r w:rsidRPr="00C8368E">
        <w:rPr>
          <w:b/>
          <w:bCs/>
          <w:sz w:val="20"/>
          <w:szCs w:val="20"/>
        </w:rPr>
        <w:t>Resume/Portfolio Impact</w:t>
      </w:r>
    </w:p>
    <w:p w14:paraId="3130423C" w14:textId="77777777" w:rsidR="00C8368E" w:rsidRPr="00C8368E" w:rsidRDefault="00C8368E" w:rsidP="00C8368E">
      <w:pPr>
        <w:pStyle w:val="ListBullet"/>
        <w:rPr>
          <w:sz w:val="20"/>
          <w:szCs w:val="20"/>
        </w:rPr>
      </w:pPr>
      <w:r w:rsidRPr="00C8368E">
        <w:rPr>
          <w:sz w:val="20"/>
          <w:szCs w:val="20"/>
        </w:rPr>
        <w:t>A fault-taxonomy table like the one above — grounded in IEEE/EPRI statistics, mapped explicitly to sensor capability and detection timing — is exactly the kind of artifact that turns your Sensor Selection Report into a genuine engineering document rather than a shopping list justification. It directly answers "why these three sensors, and what does each one actually contribute" in a way that survives scrutiny.</w:t>
      </w:r>
    </w:p>
    <w:p w14:paraId="2369CB0B" w14:textId="77777777" w:rsidR="00C8368E" w:rsidRPr="00C8368E" w:rsidRDefault="00C8368E" w:rsidP="00C8368E">
      <w:pPr>
        <w:pStyle w:val="ListBullet"/>
        <w:rPr>
          <w:sz w:val="20"/>
          <w:szCs w:val="20"/>
        </w:rPr>
      </w:pPr>
      <w:r w:rsidRPr="00C8368E">
        <w:rPr>
          <w:sz w:val="20"/>
          <w:szCs w:val="20"/>
        </w:rPr>
        <w:t>Want to go deeper into the specific FFT sideband math for either bearing fault frequencies or MCSA current sidebands next, so you have the actual formulas ready for your firmware/analysis pipeline?</w:t>
      </w:r>
    </w:p>
    <w:p w14:paraId="4560906A" w14:textId="77777777" w:rsidR="00C8368E" w:rsidRPr="005A7AEE" w:rsidRDefault="00C8368E" w:rsidP="005A7AEE">
      <w:pPr>
        <w:pStyle w:val="ListBullet"/>
        <w:numPr>
          <w:ilvl w:val="0"/>
          <w:numId w:val="0"/>
        </w:numPr>
        <w:ind w:left="360"/>
        <w:rPr>
          <w:sz w:val="20"/>
          <w:szCs w:val="20"/>
          <w:lang w:val="en-US"/>
        </w:rPr>
      </w:pPr>
    </w:p>
    <w:sectPr w:rsidR="00C8368E" w:rsidRPr="005A7A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A747D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6924ED0"/>
    <w:multiLevelType w:val="multilevel"/>
    <w:tmpl w:val="8222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768829">
    <w:abstractNumId w:val="0"/>
  </w:num>
  <w:num w:numId="2" w16cid:durableId="677463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AEE"/>
    <w:rsid w:val="002E485C"/>
    <w:rsid w:val="003E349C"/>
    <w:rsid w:val="005A7AEE"/>
    <w:rsid w:val="0070204A"/>
    <w:rsid w:val="00C8368E"/>
    <w:rsid w:val="00D600F3"/>
    <w:rsid w:val="00D9021A"/>
    <w:rsid w:val="00EE15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53B77"/>
  <w15:chartTrackingRefBased/>
  <w15:docId w15:val="{9CC0265F-4B27-4D8B-A4FD-4D757230C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next w:val="Heading1"/>
    <w:link w:val="Style1Char"/>
    <w:qFormat/>
    <w:rsid w:val="0070204A"/>
    <w:pPr>
      <w:pBdr>
        <w:bottom w:val="single" w:sz="8" w:space="8" w:color="1A1A2E"/>
      </w:pBdr>
      <w:spacing w:after="200" w:line="240" w:lineRule="auto"/>
    </w:pPr>
    <w:rPr>
      <w:b/>
      <w:bCs/>
      <w:kern w:val="0"/>
      <w:sz w:val="32"/>
      <w:szCs w:val="32"/>
      <w:lang w:eastAsia="en-IN"/>
      <w14:ligatures w14:val="none"/>
    </w:rPr>
  </w:style>
  <w:style w:type="character" w:customStyle="1" w:styleId="Style1Char">
    <w:name w:val="Style1 Char"/>
    <w:basedOn w:val="Heading1Char"/>
    <w:link w:val="Style1"/>
    <w:rsid w:val="0070204A"/>
    <w:rPr>
      <w:rFonts w:asciiTheme="majorHAnsi" w:eastAsiaTheme="majorEastAsia" w:hAnsiTheme="majorHAnsi" w:cstheme="majorBidi"/>
      <w:b/>
      <w:bCs/>
      <w:color w:val="0F4761" w:themeColor="accent1" w:themeShade="BF"/>
      <w:kern w:val="0"/>
      <w:sz w:val="32"/>
      <w:szCs w:val="32"/>
      <w:lang w:eastAsia="en-IN"/>
      <w14:ligatures w14:val="none"/>
    </w:rPr>
  </w:style>
  <w:style w:type="character" w:customStyle="1" w:styleId="Heading1Char">
    <w:name w:val="Heading 1 Char"/>
    <w:basedOn w:val="DefaultParagraphFont"/>
    <w:link w:val="Heading1"/>
    <w:uiPriority w:val="9"/>
    <w:rsid w:val="007020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AEE"/>
    <w:rPr>
      <w:rFonts w:eastAsiaTheme="majorEastAsia" w:cstheme="majorBidi"/>
      <w:color w:val="272727" w:themeColor="text1" w:themeTint="D8"/>
    </w:rPr>
  </w:style>
  <w:style w:type="paragraph" w:styleId="Title">
    <w:name w:val="Title"/>
    <w:basedOn w:val="Normal"/>
    <w:next w:val="Normal"/>
    <w:link w:val="TitleChar"/>
    <w:uiPriority w:val="10"/>
    <w:qFormat/>
    <w:rsid w:val="005A7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AEE"/>
    <w:pPr>
      <w:spacing w:before="160"/>
      <w:jc w:val="center"/>
    </w:pPr>
    <w:rPr>
      <w:i/>
      <w:iCs/>
      <w:color w:val="404040" w:themeColor="text1" w:themeTint="BF"/>
    </w:rPr>
  </w:style>
  <w:style w:type="character" w:customStyle="1" w:styleId="QuoteChar">
    <w:name w:val="Quote Char"/>
    <w:basedOn w:val="DefaultParagraphFont"/>
    <w:link w:val="Quote"/>
    <w:uiPriority w:val="29"/>
    <w:rsid w:val="005A7AEE"/>
    <w:rPr>
      <w:i/>
      <w:iCs/>
      <w:color w:val="404040" w:themeColor="text1" w:themeTint="BF"/>
    </w:rPr>
  </w:style>
  <w:style w:type="paragraph" w:styleId="ListParagraph">
    <w:name w:val="List Paragraph"/>
    <w:basedOn w:val="Normal"/>
    <w:uiPriority w:val="34"/>
    <w:qFormat/>
    <w:rsid w:val="005A7AEE"/>
    <w:pPr>
      <w:ind w:left="720"/>
      <w:contextualSpacing/>
    </w:pPr>
  </w:style>
  <w:style w:type="character" w:styleId="IntenseEmphasis">
    <w:name w:val="Intense Emphasis"/>
    <w:basedOn w:val="DefaultParagraphFont"/>
    <w:uiPriority w:val="21"/>
    <w:qFormat/>
    <w:rsid w:val="005A7AEE"/>
    <w:rPr>
      <w:i/>
      <w:iCs/>
      <w:color w:val="0F4761" w:themeColor="accent1" w:themeShade="BF"/>
    </w:rPr>
  </w:style>
  <w:style w:type="paragraph" w:styleId="IntenseQuote">
    <w:name w:val="Intense Quote"/>
    <w:basedOn w:val="Normal"/>
    <w:next w:val="Normal"/>
    <w:link w:val="IntenseQuoteChar"/>
    <w:uiPriority w:val="30"/>
    <w:qFormat/>
    <w:rsid w:val="005A7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AEE"/>
    <w:rPr>
      <w:i/>
      <w:iCs/>
      <w:color w:val="0F4761" w:themeColor="accent1" w:themeShade="BF"/>
    </w:rPr>
  </w:style>
  <w:style w:type="character" w:styleId="IntenseReference">
    <w:name w:val="Intense Reference"/>
    <w:basedOn w:val="DefaultParagraphFont"/>
    <w:uiPriority w:val="32"/>
    <w:qFormat/>
    <w:rsid w:val="005A7AEE"/>
    <w:rPr>
      <w:b/>
      <w:bCs/>
      <w:smallCaps/>
      <w:color w:val="0F4761" w:themeColor="accent1" w:themeShade="BF"/>
      <w:spacing w:val="5"/>
    </w:rPr>
  </w:style>
  <w:style w:type="paragraph" w:styleId="ListBullet">
    <w:name w:val="List Bullet"/>
    <w:basedOn w:val="Normal"/>
    <w:uiPriority w:val="99"/>
    <w:unhideWhenUsed/>
    <w:rsid w:val="005A7AEE"/>
    <w:pPr>
      <w:numPr>
        <w:numId w:val="1"/>
      </w:numPr>
      <w:contextualSpacing/>
    </w:pPr>
  </w:style>
  <w:style w:type="character" w:styleId="Hyperlink">
    <w:name w:val="Hyperlink"/>
    <w:basedOn w:val="DefaultParagraphFont"/>
    <w:uiPriority w:val="99"/>
    <w:unhideWhenUsed/>
    <w:rsid w:val="00C8368E"/>
    <w:rPr>
      <w:color w:val="467886" w:themeColor="hyperlink"/>
      <w:u w:val="single"/>
    </w:rPr>
  </w:style>
  <w:style w:type="character" w:styleId="UnresolvedMention">
    <w:name w:val="Unresolved Mention"/>
    <w:basedOn w:val="DefaultParagraphFont"/>
    <w:uiPriority w:val="99"/>
    <w:semiHidden/>
    <w:unhideWhenUsed/>
    <w:rsid w:val="00C836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searchgate.net/figure/of-different-types-of-faults-in-induction-machines-12_fig1_35333594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1166</Words>
  <Characters>6650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Ahmad</dc:creator>
  <cp:keywords/>
  <dc:description/>
  <cp:lastModifiedBy>Ibrahim Ahmad</cp:lastModifiedBy>
  <cp:revision>2</cp:revision>
  <dcterms:created xsi:type="dcterms:W3CDTF">2026-07-07T14:40:00Z</dcterms:created>
  <dcterms:modified xsi:type="dcterms:W3CDTF">2026-07-09T11:55:00Z</dcterms:modified>
</cp:coreProperties>
</file>