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9FA2C" w14:textId="77777777" w:rsidR="00A36492" w:rsidRPr="00B9226D" w:rsidRDefault="00A36492" w:rsidP="00A36492">
      <w:pPr>
        <w:jc w:val="center"/>
        <w:rPr>
          <w:rFonts w:ascii="Times New Roman" w:hAnsi="Times New Roman" w:cs="Times New Roman"/>
          <w:b/>
          <w:bCs/>
          <w:sz w:val="40"/>
          <w:szCs w:val="40"/>
        </w:rPr>
      </w:pPr>
      <w:r w:rsidRPr="00B9226D">
        <w:rPr>
          <w:rFonts w:ascii="Times New Roman" w:hAnsi="Times New Roman" w:cs="Times New Roman"/>
          <w:b/>
          <w:bCs/>
          <w:sz w:val="40"/>
          <w:szCs w:val="40"/>
        </w:rPr>
        <w:t>The Impact of Academic, Work, and Financial Stress on Depression Among University Students</w:t>
      </w:r>
      <w:r>
        <w:rPr>
          <w:rFonts w:ascii="Times New Roman" w:hAnsi="Times New Roman" w:cs="Times New Roman"/>
          <w:b/>
          <w:bCs/>
          <w:sz w:val="40"/>
          <w:szCs w:val="40"/>
        </w:rPr>
        <w:t>.</w:t>
      </w:r>
    </w:p>
    <w:p w14:paraId="2A3F67CA"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Authors</w:t>
      </w:r>
      <w:r w:rsidRPr="00B9226D">
        <w:rPr>
          <w:rFonts w:ascii="Times New Roman" w:hAnsi="Times New Roman" w:cs="Times New Roman"/>
          <w:sz w:val="24"/>
          <w:szCs w:val="24"/>
        </w:rPr>
        <w:t>: Kaduna Minna.</w:t>
      </w:r>
    </w:p>
    <w:p w14:paraId="5D7D8952"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Affiliation</w:t>
      </w:r>
      <w:r w:rsidRPr="00B9226D">
        <w:rPr>
          <w:rFonts w:ascii="Times New Roman" w:hAnsi="Times New Roman" w:cs="Times New Roman"/>
          <w:sz w:val="24"/>
          <w:szCs w:val="24"/>
        </w:rPr>
        <w:t>: Federal University of Technology Minna.</w:t>
      </w:r>
    </w:p>
    <w:p w14:paraId="3409FFEF" w14:textId="77777777" w:rsidR="00A36492" w:rsidRPr="00B9226D" w:rsidRDefault="00A36492" w:rsidP="00A36492">
      <w:pPr>
        <w:spacing w:after="0"/>
        <w:rPr>
          <w:rFonts w:ascii="Times New Roman" w:hAnsi="Times New Roman" w:cs="Times New Roman"/>
          <w:sz w:val="24"/>
          <w:szCs w:val="24"/>
        </w:rPr>
      </w:pPr>
      <w:r w:rsidRPr="00B9226D">
        <w:rPr>
          <w:rFonts w:ascii="Times New Roman" w:hAnsi="Times New Roman" w:cs="Times New Roman"/>
          <w:b/>
          <w:bCs/>
          <w:sz w:val="24"/>
          <w:szCs w:val="24"/>
        </w:rPr>
        <w:t>Email</w:t>
      </w:r>
      <w:r w:rsidRPr="00B9226D">
        <w:rPr>
          <w:rFonts w:ascii="Times New Roman" w:hAnsi="Times New Roman" w:cs="Times New Roman"/>
          <w:sz w:val="24"/>
          <w:szCs w:val="24"/>
        </w:rPr>
        <w:t>: Kaduna@gmail.com</w:t>
      </w:r>
    </w:p>
    <w:p w14:paraId="7EAC31F0" w14:textId="77777777" w:rsidR="00A36492" w:rsidRDefault="00A36492" w:rsidP="00A36492"/>
    <w:p w14:paraId="2F04B448" w14:textId="77777777" w:rsidR="00A36492"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Abstract</w:t>
      </w:r>
    </w:p>
    <w:p w14:paraId="4977C182" w14:textId="6205936B" w:rsidR="00FF46FF" w:rsidRPr="00FF46FF" w:rsidRDefault="00FF46FF" w:rsidP="00FF46FF">
      <w:pPr>
        <w:spacing w:after="0" w:line="360" w:lineRule="auto"/>
        <w:jc w:val="both"/>
        <w:rPr>
          <w:rFonts w:ascii="Times New Roman" w:hAnsi="Times New Roman" w:cs="Times New Roman"/>
          <w:sz w:val="24"/>
          <w:szCs w:val="24"/>
        </w:rPr>
      </w:pPr>
      <w:r w:rsidRPr="00FF46FF">
        <w:rPr>
          <w:rFonts w:ascii="Times New Roman" w:hAnsi="Times New Roman" w:cs="Times New Roman"/>
          <w:sz w:val="24"/>
          <w:szCs w:val="24"/>
        </w:rPr>
        <w:t>This report examines the significant impact of academic, work, and financial stress on the prevalence of depression among university students. The analysis of current research reveals a strong correlation between each of these stressors and the development of depressive symptoms. Furthermore, the report explores how a family history of mental illness can increase a student's vulnerability to stress-related depression and investigates the effectiveness of various mental health interventions and support systems available to students.</w:t>
      </w:r>
    </w:p>
    <w:p w14:paraId="6284FDCE" w14:textId="60895A44" w:rsidR="00A36492" w:rsidRPr="003232EC" w:rsidRDefault="00A36492" w:rsidP="00A36492">
      <w:pPr>
        <w:spacing w:line="360" w:lineRule="auto"/>
        <w:jc w:val="both"/>
        <w:rPr>
          <w:rFonts w:ascii="Times New Roman" w:hAnsi="Times New Roman" w:cs="Times New Roman"/>
          <w:sz w:val="24"/>
          <w:szCs w:val="24"/>
        </w:rPr>
      </w:pPr>
      <w:r w:rsidRPr="003232EC">
        <w:rPr>
          <w:rFonts w:ascii="Times New Roman" w:hAnsi="Times New Roman" w:cs="Times New Roman"/>
          <w:sz w:val="24"/>
          <w:szCs w:val="24"/>
        </w:rPr>
        <w:t>Logistic regression and comparative analysis</w:t>
      </w:r>
      <w:r w:rsidR="00A2674B">
        <w:rPr>
          <w:rFonts w:ascii="Times New Roman" w:hAnsi="Times New Roman" w:cs="Times New Roman"/>
          <w:sz w:val="24"/>
          <w:szCs w:val="24"/>
        </w:rPr>
        <w:t xml:space="preserve"> (T-test)</w:t>
      </w:r>
      <w:r w:rsidRPr="003232EC">
        <w:rPr>
          <w:rFonts w:ascii="Times New Roman" w:hAnsi="Times New Roman" w:cs="Times New Roman"/>
          <w:sz w:val="24"/>
          <w:szCs w:val="24"/>
        </w:rPr>
        <w:t xml:space="preserve"> were used to test a sample of N = </w:t>
      </w:r>
      <w:r w:rsidRPr="007F7CED">
        <w:rPr>
          <w:rFonts w:ascii="Times New Roman" w:hAnsi="Times New Roman" w:cs="Times New Roman"/>
          <w:color w:val="000000" w:themeColor="text1"/>
          <w:kern w:val="0"/>
          <w:sz w:val="24"/>
          <w:szCs w:val="24"/>
        </w:rPr>
        <w:t>27</w:t>
      </w:r>
      <w:r w:rsidRPr="003232EC">
        <w:rPr>
          <w:rFonts w:ascii="Times New Roman" w:hAnsi="Times New Roman" w:cs="Times New Roman"/>
          <w:color w:val="000000" w:themeColor="text1"/>
          <w:kern w:val="0"/>
          <w:sz w:val="24"/>
          <w:szCs w:val="24"/>
        </w:rPr>
        <w:t>,</w:t>
      </w:r>
      <w:r w:rsidRPr="007F7CED">
        <w:rPr>
          <w:rFonts w:ascii="Times New Roman" w:hAnsi="Times New Roman" w:cs="Times New Roman"/>
          <w:color w:val="000000" w:themeColor="text1"/>
          <w:kern w:val="0"/>
          <w:sz w:val="24"/>
          <w:szCs w:val="24"/>
        </w:rPr>
        <w:t>900</w:t>
      </w:r>
      <w:r w:rsidRPr="003232EC">
        <w:rPr>
          <w:rFonts w:ascii="Times New Roman" w:hAnsi="Times New Roman" w:cs="Times New Roman"/>
          <w:sz w:val="24"/>
          <w:szCs w:val="24"/>
        </w:rPr>
        <w:t>. Significant relationships between depression</w:t>
      </w:r>
      <w:r w:rsidR="00A2674B">
        <w:rPr>
          <w:rFonts w:ascii="Times New Roman" w:hAnsi="Times New Roman" w:cs="Times New Roman"/>
          <w:sz w:val="24"/>
          <w:szCs w:val="24"/>
        </w:rPr>
        <w:t xml:space="preserve">, </w:t>
      </w:r>
      <w:r w:rsidRPr="003232EC">
        <w:rPr>
          <w:rFonts w:ascii="Times New Roman" w:hAnsi="Times New Roman" w:cs="Times New Roman"/>
          <w:sz w:val="24"/>
          <w:szCs w:val="24"/>
        </w:rPr>
        <w:t xml:space="preserve">academic pressure (OR = 2.30, p &lt; 0.001) and financial stress (OR = 1.78, p &lt; 0.001) were found, while work pressure was not significant (p = 0.203). Family history enhanced these effects modestly. Findings </w:t>
      </w:r>
      <w:r>
        <w:rPr>
          <w:rFonts w:ascii="Times New Roman" w:hAnsi="Times New Roman" w:cs="Times New Roman"/>
          <w:sz w:val="24"/>
          <w:szCs w:val="24"/>
        </w:rPr>
        <w:t xml:space="preserve">lay emphasis on </w:t>
      </w:r>
      <w:r w:rsidRPr="003232EC">
        <w:rPr>
          <w:rFonts w:ascii="Times New Roman" w:hAnsi="Times New Roman" w:cs="Times New Roman"/>
          <w:sz w:val="24"/>
          <w:szCs w:val="24"/>
        </w:rPr>
        <w:t>the importance of focused mental health interventions targeted at academic and financial stressors, particularly in at-risk students.</w:t>
      </w:r>
    </w:p>
    <w:p w14:paraId="2309A4E6" w14:textId="77777777"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t>Keywords:</w:t>
      </w:r>
      <w:r w:rsidRPr="003232EC">
        <w:rPr>
          <w:rFonts w:ascii="Times New Roman" w:hAnsi="Times New Roman" w:cs="Times New Roman"/>
          <w:sz w:val="24"/>
          <w:szCs w:val="24"/>
        </w:rPr>
        <w:t xml:space="preserve"> depression, academic stress, financial stress, moderation analysis, mental health</w:t>
      </w:r>
    </w:p>
    <w:p w14:paraId="4407D5F5"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1. Introduction</w:t>
      </w:r>
    </w:p>
    <w:p w14:paraId="71C20FFB" w14:textId="1AFDA04A" w:rsidR="00640440" w:rsidRDefault="00A36492" w:rsidP="00A2674B">
      <w:pPr>
        <w:jc w:val="both"/>
        <w:rPr>
          <w:rFonts w:ascii="Times New Roman" w:hAnsi="Times New Roman" w:cs="Times New Roman"/>
          <w:sz w:val="24"/>
          <w:szCs w:val="24"/>
        </w:rPr>
      </w:pPr>
      <w:r w:rsidRPr="00A2674B">
        <w:rPr>
          <w:rFonts w:ascii="Times New Roman" w:hAnsi="Times New Roman" w:cs="Times New Roman"/>
          <w:sz w:val="24"/>
          <w:szCs w:val="24"/>
        </w:rPr>
        <w:t>The mental health of university students has become an increasingly pressing concern worldwide, with a notable rise in the prevalence of mental health issues, particularly depression.</w:t>
      </w:r>
      <w:sdt>
        <w:sdtPr>
          <w:rPr>
            <w:rFonts w:ascii="Times New Roman" w:hAnsi="Times New Roman" w:cs="Times New Roman"/>
            <w:color w:val="000000"/>
            <w:sz w:val="24"/>
            <w:szCs w:val="24"/>
          </w:rPr>
          <w:tag w:val="MENDELEY_CITATION_v3_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"/>
          <w:id w:val="-592622508"/>
          <w:placeholder>
            <w:docPart w:val="DefaultPlaceholder_-1854013440"/>
          </w:placeholder>
        </w:sdtPr>
        <w:sdtEndPr/>
        <w:sdtContent>
          <w:r w:rsidR="00465032" w:rsidRPr="00465032">
            <w:rPr>
              <w:rFonts w:ascii="Times New Roman" w:hAnsi="Times New Roman" w:cs="Times New Roman"/>
              <w:color w:val="000000"/>
              <w:sz w:val="24"/>
              <w:szCs w:val="24"/>
            </w:rPr>
            <w:t>[1]</w:t>
          </w:r>
        </w:sdtContent>
      </w:sdt>
      <w:r w:rsidRPr="00A2674B">
        <w:rPr>
          <w:rFonts w:ascii="Times New Roman" w:hAnsi="Times New Roman" w:cs="Times New Roman"/>
          <w:sz w:val="24"/>
          <w:szCs w:val="24"/>
        </w:rPr>
        <w:t xml:space="preserve">   This upward trend over the past decade signifies a critical need for universities to understand the factors contributing to this decline and to implement effective strategies to support their students.</w:t>
      </w:r>
      <w:sdt>
        <w:sdtPr>
          <w:rPr>
            <w:rFonts w:ascii="Times New Roman" w:hAnsi="Times New Roman" w:cs="Times New Roman"/>
            <w:color w:val="000000"/>
            <w:sz w:val="24"/>
            <w:szCs w:val="24"/>
          </w:rPr>
          <w:tag w:val="MENDELEY_CITATION_v3_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"/>
          <w:id w:val="-1399432718"/>
          <w:placeholder>
            <w:docPart w:val="DefaultPlaceholder_-1854013440"/>
          </w:placeholder>
        </w:sdtPr>
        <w:sdtEndPr/>
        <w:sdtContent>
          <w:r w:rsidR="00465032" w:rsidRPr="00465032">
            <w:rPr>
              <w:rFonts w:ascii="Times New Roman" w:hAnsi="Times New Roman" w:cs="Times New Roman"/>
              <w:color w:val="000000"/>
              <w:sz w:val="24"/>
              <w:szCs w:val="24"/>
            </w:rPr>
            <w:t>[2]</w:t>
          </w:r>
        </w:sdtContent>
      </w:sdt>
      <w:r w:rsidRPr="00A2674B">
        <w:rPr>
          <w:rFonts w:ascii="Times New Roman" w:hAnsi="Times New Roman" w:cs="Times New Roman"/>
          <w:sz w:val="24"/>
          <w:szCs w:val="24"/>
        </w:rPr>
        <w:t xml:space="preserve">  Depression among university students is not merely a personal challenge but also has far-reaching consequences, negatively affecting academic performance, student retention rates, and overall well-being.</w:t>
      </w:r>
      <w:sdt>
        <w:sdtPr>
          <w:rPr>
            <w:rFonts w:ascii="Times New Roman" w:hAnsi="Times New Roman" w:cs="Times New Roman"/>
            <w:color w:val="000000"/>
            <w:sz w:val="24"/>
            <w:szCs w:val="24"/>
          </w:rPr>
          <w:tag w:val="MENDELEY_CITATION_v3_eyJjaXRhdGlvbklEIjoiTUVOREVMRVlfQ0lUQVRJT05fZTQ5YTc3MDgtYTAzNC00MmZlLWJhMDMtYTNmMjkzZThlNjA2IiwicHJvcGVydGllcyI6eyJub3RlSW5kZXgiOjB9LCJpc0VkaXRlZCI6ZmFsc2UsIm1hbnVhbE92ZXJyaWRlIjp7ImlzTWFudWFsbHlPdmVycmlkZGVuIjpmYWxzZSwiY2l0ZXByb2NUZXh0IjoiWzNdIiwibWFudWFsT3ZlcnJpZGVUZXh0IjoiIn0sImNpdGF0aW9uSXRlbXMiOlt7ImlkIjoiNjdmODgwNzUtMDg5Ny0zZWI2LWJlZDMtNjZmYWVmMTY3OThmIiwiaXRlbURhdGEiOnsidHlwZSI6ImFydGljbGUtam91cm5hbCIsImlkIjoiNjdmODgwNzUtMDg5Ny0zZWI2LWJlZDMtNjZmYWVmMTY3OThm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
          <w:id w:val="-1019771348"/>
          <w:placeholder>
            <w:docPart w:val="DefaultPlaceholder_-1854013440"/>
          </w:placeholder>
        </w:sdtPr>
        <w:sdtEndPr/>
        <w:sdtContent>
          <w:r w:rsidR="00465032" w:rsidRPr="00465032">
            <w:rPr>
              <w:rFonts w:ascii="Times New Roman" w:hAnsi="Times New Roman" w:cs="Times New Roman"/>
              <w:color w:val="000000"/>
              <w:sz w:val="24"/>
              <w:szCs w:val="24"/>
            </w:rPr>
            <w:t>[3]</w:t>
          </w:r>
        </w:sdtContent>
      </w:sdt>
      <w:r w:rsidRPr="00A2674B">
        <w:rPr>
          <w:rFonts w:ascii="Times New Roman" w:hAnsi="Times New Roman" w:cs="Times New Roman"/>
          <w:sz w:val="24"/>
          <w:szCs w:val="24"/>
        </w:rPr>
        <w:t xml:space="preserve">  The ability to identify and address the various stressors that contribute to depression in this population is therefore paramount for fostering a thriving academic community.   </w:t>
      </w:r>
    </w:p>
    <w:p w14:paraId="57DB976A" w14:textId="30BD6941" w:rsidR="00A36492" w:rsidRPr="00A2674B" w:rsidRDefault="00A36492" w:rsidP="00A2674B">
      <w:pPr>
        <w:jc w:val="both"/>
        <w:rPr>
          <w:rFonts w:ascii="Times New Roman" w:hAnsi="Times New Roman" w:cs="Times New Roman"/>
          <w:sz w:val="24"/>
          <w:szCs w:val="24"/>
        </w:rPr>
      </w:pPr>
      <w:r w:rsidRPr="00A2674B">
        <w:rPr>
          <w:rFonts w:ascii="Times New Roman" w:hAnsi="Times New Roman" w:cs="Times New Roman"/>
          <w:sz w:val="24"/>
          <w:szCs w:val="24"/>
        </w:rPr>
        <w:t>University students face a unique set of pressures, with academic, work, and financial stress emerging as key contributors to their mental health.</w:t>
      </w:r>
      <w:sdt>
        <w:sdtPr>
          <w:rPr>
            <w:rFonts w:ascii="Times New Roman" w:hAnsi="Times New Roman" w:cs="Times New Roman"/>
            <w:color w:val="000000"/>
            <w:sz w:val="24"/>
            <w:szCs w:val="24"/>
          </w:rPr>
          <w:tag w:val="MENDELEY_CITATION_v3_eyJjaXRhdGlvbklEIjoiTUVOREVMRVlfQ0lUQVRJT05fMzBhYmFiNTMtNmY5ZS00YWI5LTk2ZWQtNmQ3ZWE3NWQ3MmQzIiwicHJvcGVydGllcyI6eyJub3RlSW5kZXgiOjB9LCJpc0VkaXRlZCI6ZmFsc2UsIm1hbnVhbE92ZXJyaWRlIjp7ImlzTWFudWFsbHlPdmVycmlkZGVuIjpmYWxzZSwiY2l0ZXByb2NUZXh0IjoiWzR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
          <w:id w:val="532547208"/>
          <w:placeholder>
            <w:docPart w:val="DefaultPlaceholder_-1854013440"/>
          </w:placeholder>
        </w:sdtPr>
        <w:sdtEndPr/>
        <w:sdtContent>
          <w:r w:rsidR="00465032" w:rsidRPr="00465032">
            <w:rPr>
              <w:rFonts w:ascii="Times New Roman" w:hAnsi="Times New Roman" w:cs="Times New Roman"/>
              <w:color w:val="000000"/>
              <w:sz w:val="24"/>
              <w:szCs w:val="24"/>
            </w:rPr>
            <w:t>[4]</w:t>
          </w:r>
        </w:sdtContent>
      </w:sdt>
      <w:r w:rsidRPr="00A2674B">
        <w:rPr>
          <w:rFonts w:ascii="Times New Roman" w:hAnsi="Times New Roman" w:cs="Times New Roman"/>
          <w:sz w:val="24"/>
          <w:szCs w:val="24"/>
        </w:rPr>
        <w:t xml:space="preserve">  The university environment itself, characterized by rigorous academic demands, transitions to independent living, financial responsibilities, and anxieties about future careers, can significantly amplify these stressors. </w:t>
      </w:r>
      <w:sdt>
        <w:sdtPr>
          <w:rPr>
            <w:rFonts w:ascii="Times New Roman" w:hAnsi="Times New Roman" w:cs="Times New Roman"/>
            <w:color w:val="000000"/>
            <w:sz w:val="24"/>
            <w:szCs w:val="24"/>
          </w:rPr>
          <w:tag w:val="MENDELEY_CITATION_v3_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"/>
          <w:id w:val="-1736697183"/>
          <w:placeholder>
            <w:docPart w:val="DefaultPlaceholder_-1854013440"/>
          </w:placeholder>
        </w:sdtPr>
        <w:sdtEndPr/>
        <w:sdtContent>
          <w:r w:rsidR="00465032" w:rsidRPr="00465032">
            <w:rPr>
              <w:rFonts w:ascii="Times New Roman" w:hAnsi="Times New Roman" w:cs="Times New Roman"/>
              <w:color w:val="000000"/>
              <w:sz w:val="24"/>
              <w:szCs w:val="24"/>
            </w:rPr>
            <w:t>[5]</w:t>
          </w:r>
        </w:sdtContent>
      </w:sdt>
      <w:r w:rsidRPr="00A2674B">
        <w:rPr>
          <w:rFonts w:ascii="Times New Roman" w:hAnsi="Times New Roman" w:cs="Times New Roman"/>
          <w:sz w:val="24"/>
          <w:szCs w:val="24"/>
        </w:rPr>
        <w:t xml:space="preserve">  For many students, the university experience involves navigating new social circles, adapting to a more demanding academic schedule, managing their finances for the first time, and grappling with uncertainties about their professional futures.</w:t>
      </w:r>
      <w:sdt>
        <w:sdtPr>
          <w:rPr>
            <w:rFonts w:ascii="Times New Roman" w:hAnsi="Times New Roman" w:cs="Times New Roman"/>
            <w:color w:val="000000"/>
            <w:sz w:val="24"/>
            <w:szCs w:val="24"/>
          </w:rPr>
          <w:tag w:val="MENDELEY_CITATION_v3_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"/>
          <w:id w:val="-1712873595"/>
          <w:placeholder>
            <w:docPart w:val="DefaultPlaceholder_-1854013440"/>
          </w:placeholder>
        </w:sdtPr>
        <w:sdtEndPr/>
        <w:sdtContent>
          <w:r w:rsidR="00465032" w:rsidRPr="00465032">
            <w:rPr>
              <w:rFonts w:ascii="Times New Roman" w:hAnsi="Times New Roman" w:cs="Times New Roman"/>
              <w:color w:val="000000"/>
              <w:sz w:val="24"/>
              <w:szCs w:val="24"/>
            </w:rPr>
            <w:t>[6]</w:t>
          </w:r>
        </w:sdtContent>
      </w:sdt>
      <w:r w:rsidRPr="00A2674B">
        <w:rPr>
          <w:rFonts w:ascii="Times New Roman" w:hAnsi="Times New Roman" w:cs="Times New Roman"/>
          <w:sz w:val="24"/>
          <w:szCs w:val="24"/>
        </w:rPr>
        <w:t xml:space="preserve">  This confluence of </w:t>
      </w:r>
      <w:r w:rsidRPr="00A2674B">
        <w:rPr>
          <w:rFonts w:ascii="Times New Roman" w:hAnsi="Times New Roman" w:cs="Times New Roman"/>
          <w:sz w:val="24"/>
          <w:szCs w:val="24"/>
        </w:rPr>
        <w:lastRenderedPageBreak/>
        <w:t xml:space="preserve">challenges can create a fertile ground for the development of mental health difficulties. This report aims to provide a comprehensive analysis of the impact of academic, work, and financial stress on depression among university students. It will also consider the moderating role of family history of mental illness, examine the effectiveness of available interventions, explore the global prevalence of depression in this population, and ultimately </w:t>
      </w:r>
      <w:proofErr w:type="spellStart"/>
      <w:r w:rsidRPr="00A2674B">
        <w:rPr>
          <w:rFonts w:ascii="Times New Roman" w:hAnsi="Times New Roman" w:cs="Times New Roman"/>
          <w:sz w:val="24"/>
          <w:szCs w:val="24"/>
        </w:rPr>
        <w:t>analyze</w:t>
      </w:r>
      <w:proofErr w:type="spellEnd"/>
      <w:r w:rsidRPr="00A2674B">
        <w:rPr>
          <w:rFonts w:ascii="Times New Roman" w:hAnsi="Times New Roman" w:cs="Times New Roman"/>
          <w:sz w:val="24"/>
          <w:szCs w:val="24"/>
        </w:rPr>
        <w:t xml:space="preserve"> the implications of these findings for university policies and the provision of student support services.   </w:t>
      </w:r>
    </w:p>
    <w:p w14:paraId="7C6214E0" w14:textId="77777777"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t>H₁:</w:t>
      </w:r>
      <w:r w:rsidRPr="003232EC">
        <w:rPr>
          <w:rFonts w:ascii="Times New Roman" w:hAnsi="Times New Roman" w:cs="Times New Roman"/>
          <w:sz w:val="24"/>
          <w:szCs w:val="24"/>
        </w:rPr>
        <w:t xml:space="preserve"> Work pressure, school pressure, and financial pressure are positively associated with depression.</w:t>
      </w:r>
    </w:p>
    <w:p w14:paraId="59C7CB16" w14:textId="77777777" w:rsidR="00A36492" w:rsidRPr="003232EC" w:rsidRDefault="00A36492" w:rsidP="00A36492">
      <w:pPr>
        <w:rPr>
          <w:rFonts w:ascii="Times New Roman" w:hAnsi="Times New Roman" w:cs="Times New Roman"/>
          <w:sz w:val="24"/>
          <w:szCs w:val="24"/>
        </w:rPr>
      </w:pPr>
      <w:r w:rsidRPr="003232EC">
        <w:rPr>
          <w:rFonts w:ascii="Times New Roman" w:hAnsi="Times New Roman" w:cs="Times New Roman"/>
          <w:b/>
          <w:bCs/>
          <w:sz w:val="24"/>
          <w:szCs w:val="24"/>
        </w:rPr>
        <w:t>H₂:</w:t>
      </w:r>
      <w:r w:rsidRPr="003232EC">
        <w:rPr>
          <w:rFonts w:ascii="Times New Roman" w:hAnsi="Times New Roman" w:cs="Times New Roman"/>
          <w:sz w:val="24"/>
          <w:szCs w:val="24"/>
        </w:rPr>
        <w:t xml:space="preserve"> They are stronger for students with a family history of mental illness.</w:t>
      </w:r>
    </w:p>
    <w:p w14:paraId="60C6F29E"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2. Methods</w:t>
      </w:r>
    </w:p>
    <w:p w14:paraId="4B567941" w14:textId="77777777" w:rsidR="00A36492" w:rsidRPr="003232EC" w:rsidRDefault="00A36492" w:rsidP="00A36492">
      <w:pPr>
        <w:rPr>
          <w:rFonts w:ascii="Times New Roman" w:hAnsi="Times New Roman" w:cs="Times New Roman"/>
          <w:b/>
          <w:bCs/>
          <w:sz w:val="24"/>
          <w:szCs w:val="24"/>
        </w:rPr>
      </w:pPr>
      <w:r w:rsidRPr="003232EC">
        <w:rPr>
          <w:rFonts w:ascii="Times New Roman" w:hAnsi="Times New Roman" w:cs="Times New Roman"/>
          <w:b/>
          <w:bCs/>
          <w:sz w:val="24"/>
          <w:szCs w:val="24"/>
        </w:rPr>
        <w:t>2.1 Data Collection</w:t>
      </w:r>
    </w:p>
    <w:p w14:paraId="4F7694FE" w14:textId="77777777" w:rsidR="00A36492" w:rsidRPr="003232EC" w:rsidRDefault="00A36492" w:rsidP="00A36492">
      <w:pPr>
        <w:spacing w:line="360" w:lineRule="auto"/>
        <w:jc w:val="both"/>
        <w:rPr>
          <w:rFonts w:ascii="Times New Roman" w:hAnsi="Times New Roman" w:cs="Times New Roman"/>
          <w:sz w:val="24"/>
          <w:szCs w:val="24"/>
        </w:rPr>
      </w:pPr>
      <w:r w:rsidRPr="003232EC">
        <w:rPr>
          <w:rFonts w:ascii="Times New Roman" w:hAnsi="Times New Roman" w:cs="Times New Roman"/>
          <w:sz w:val="24"/>
          <w:szCs w:val="24"/>
        </w:rPr>
        <w:t>Dataset: Secondary analysis of anonymized survey data on university students (publicly archived dataset</w:t>
      </w:r>
      <w:r>
        <w:rPr>
          <w:rFonts w:ascii="Times New Roman" w:hAnsi="Times New Roman" w:cs="Times New Roman"/>
          <w:sz w:val="24"/>
          <w:szCs w:val="24"/>
        </w:rPr>
        <w:t xml:space="preserve"> and </w:t>
      </w:r>
      <w:r w:rsidRPr="003232EC">
        <w:rPr>
          <w:rFonts w:ascii="Times New Roman" w:hAnsi="Times New Roman" w:cs="Times New Roman"/>
          <w:sz w:val="24"/>
          <w:szCs w:val="24"/>
        </w:rPr>
        <w:t>GDPR-compliant) was downloaded from the Kaggle</w:t>
      </w:r>
      <w:r>
        <w:rPr>
          <w:rFonts w:ascii="Times New Roman" w:hAnsi="Times New Roman" w:cs="Times New Roman"/>
          <w:sz w:val="24"/>
          <w:szCs w:val="24"/>
        </w:rPr>
        <w:t xml:space="preserve"> website, cleaned with MS Excel 2019 before analysing the data</w:t>
      </w:r>
      <w:r w:rsidRPr="003232EC">
        <w:rPr>
          <w:rFonts w:ascii="Times New Roman" w:hAnsi="Times New Roman" w:cs="Times New Roman"/>
          <w:sz w:val="24"/>
          <w:szCs w:val="24"/>
        </w:rPr>
        <w:t>. Meta data about the data set is available in the GitHub repository.</w:t>
      </w:r>
    </w:p>
    <w:p w14:paraId="133EC113" w14:textId="77777777" w:rsidR="00A36492" w:rsidRPr="00696D59" w:rsidRDefault="00A36492" w:rsidP="00A36492">
      <w:pPr>
        <w:rPr>
          <w:rFonts w:ascii="Times New Roman" w:hAnsi="Times New Roman" w:cs="Times New Roman"/>
          <w:b/>
          <w:bCs/>
          <w:sz w:val="24"/>
          <w:szCs w:val="24"/>
        </w:rPr>
      </w:pPr>
      <w:r w:rsidRPr="00696D59">
        <w:rPr>
          <w:rFonts w:ascii="Times New Roman" w:hAnsi="Times New Roman" w:cs="Times New Roman"/>
          <w:b/>
          <w:bCs/>
          <w:sz w:val="24"/>
          <w:szCs w:val="24"/>
        </w:rPr>
        <w:t>Variables</w:t>
      </w:r>
    </w:p>
    <w:p w14:paraId="69819F7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Outcome: Depression (binary: self-reported diagnosis/clinical threshold).</w:t>
      </w:r>
    </w:p>
    <w:p w14:paraId="2CD050F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Predictors: Academic pressure, work pressure, financial stress.</w:t>
      </w:r>
    </w:p>
    <w:p w14:paraId="4EBF8D77"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Moderator: Family history of mental illness (binary).</w:t>
      </w:r>
    </w:p>
    <w:p w14:paraId="25A2F7BB" w14:textId="77777777" w:rsidR="00A36492" w:rsidRPr="00FD0348" w:rsidRDefault="00A36492" w:rsidP="00A36492">
      <w:pPr>
        <w:jc w:val="both"/>
        <w:rPr>
          <w:rFonts w:ascii="Times New Roman" w:hAnsi="Times New Roman" w:cs="Times New Roman"/>
          <w:b/>
          <w:bCs/>
          <w:sz w:val="24"/>
          <w:szCs w:val="24"/>
        </w:rPr>
      </w:pPr>
      <w:r w:rsidRPr="00FD0348">
        <w:rPr>
          <w:rFonts w:ascii="Times New Roman" w:hAnsi="Times New Roman" w:cs="Times New Roman"/>
          <w:b/>
          <w:bCs/>
          <w:sz w:val="24"/>
          <w:szCs w:val="24"/>
        </w:rPr>
        <w:t>2.2 Statistical Analysis</w:t>
      </w:r>
    </w:p>
    <w:p w14:paraId="7806912E" w14:textId="7996CD05"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Logistic Regression: Assessed the relationships between stressors and depression (H₁).</w:t>
      </w:r>
    </w:p>
    <w:p w14:paraId="2EFC8028"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 xml:space="preserve">Subgroup Analysis: Compared </w:t>
      </w:r>
      <w:r>
        <w:rPr>
          <w:rFonts w:ascii="Times New Roman" w:hAnsi="Times New Roman" w:cs="Times New Roman"/>
          <w:sz w:val="24"/>
          <w:szCs w:val="24"/>
        </w:rPr>
        <w:t xml:space="preserve">mean difference among </w:t>
      </w:r>
      <w:r w:rsidRPr="003232EC">
        <w:rPr>
          <w:rFonts w:ascii="Times New Roman" w:hAnsi="Times New Roman" w:cs="Times New Roman"/>
          <w:sz w:val="24"/>
          <w:szCs w:val="24"/>
        </w:rPr>
        <w:t>stressor effects between students with/without family history (H₂).</w:t>
      </w:r>
    </w:p>
    <w:p w14:paraId="27CD4E7B" w14:textId="41528FBD"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 xml:space="preserve">Software: SPSS version 26.0 was used in </w:t>
      </w:r>
      <w:r w:rsidR="00AB0175" w:rsidRPr="003232EC">
        <w:rPr>
          <w:rFonts w:ascii="Times New Roman" w:hAnsi="Times New Roman" w:cs="Times New Roman"/>
          <w:sz w:val="24"/>
          <w:szCs w:val="24"/>
        </w:rPr>
        <w:t>analysing</w:t>
      </w:r>
      <w:r w:rsidRPr="003232EC">
        <w:rPr>
          <w:rFonts w:ascii="Times New Roman" w:hAnsi="Times New Roman" w:cs="Times New Roman"/>
          <w:sz w:val="24"/>
          <w:szCs w:val="24"/>
        </w:rPr>
        <w:t xml:space="preserve"> the dataset at a significant level of p &lt; 0.05.</w:t>
      </w:r>
    </w:p>
    <w:p w14:paraId="0A489742" w14:textId="77777777" w:rsidR="00A36492" w:rsidRPr="003232EC" w:rsidRDefault="00A36492" w:rsidP="00A36492">
      <w:pPr>
        <w:spacing w:after="0" w:line="360" w:lineRule="auto"/>
        <w:rPr>
          <w:rFonts w:ascii="Times New Roman" w:hAnsi="Times New Roman" w:cs="Times New Roman"/>
          <w:b/>
          <w:bCs/>
          <w:sz w:val="24"/>
          <w:szCs w:val="24"/>
        </w:rPr>
      </w:pPr>
      <w:r w:rsidRPr="003232EC">
        <w:rPr>
          <w:rFonts w:ascii="Times New Roman" w:hAnsi="Times New Roman" w:cs="Times New Roman"/>
          <w:b/>
          <w:bCs/>
          <w:sz w:val="24"/>
          <w:szCs w:val="24"/>
        </w:rPr>
        <w:t>3. Results</w:t>
      </w:r>
    </w:p>
    <w:p w14:paraId="1DDF78E6"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3.1 Primary Analysis (H₁)</w:t>
      </w:r>
    </w:p>
    <w:p w14:paraId="212DD2B1"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Academic Pressure: Most significant predictor (OR = 2.30, 95% CI [2.25, 2.36], p &lt; 0.001).</w:t>
      </w:r>
    </w:p>
    <w:p w14:paraId="75F8A08C"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Financial Stress: Significant (OR = 1.78, 95% CI [1.74, 1.82], p &lt; 0.001).</w:t>
      </w:r>
    </w:p>
    <w:p w14:paraId="5E34094D" w14:textId="77777777" w:rsidR="00A36492" w:rsidRPr="003232EC" w:rsidRDefault="00A36492" w:rsidP="00A36492">
      <w:pPr>
        <w:spacing w:after="0" w:line="360" w:lineRule="auto"/>
        <w:jc w:val="both"/>
        <w:rPr>
          <w:rFonts w:ascii="Times New Roman" w:hAnsi="Times New Roman" w:cs="Times New Roman"/>
          <w:sz w:val="24"/>
          <w:szCs w:val="24"/>
        </w:rPr>
      </w:pPr>
      <w:r w:rsidRPr="003232EC">
        <w:rPr>
          <w:rFonts w:ascii="Times New Roman" w:hAnsi="Times New Roman" w:cs="Times New Roman"/>
          <w:sz w:val="24"/>
          <w:szCs w:val="24"/>
        </w:rPr>
        <w:t>Work Pressure: Not a significant (OR = 1.43, p = 0.203).</w:t>
      </w:r>
    </w:p>
    <w:p w14:paraId="0D55C54A" w14:textId="77777777" w:rsidR="00A36492" w:rsidRPr="003232EC" w:rsidRDefault="00A36492" w:rsidP="00A36492">
      <w:pPr>
        <w:jc w:val="both"/>
        <w:rPr>
          <w:rFonts w:ascii="Times New Roman" w:hAnsi="Times New Roman" w:cs="Times New Roman"/>
          <w:sz w:val="24"/>
          <w:szCs w:val="24"/>
        </w:rPr>
      </w:pPr>
      <w:r w:rsidRPr="003232EC">
        <w:rPr>
          <w:rFonts w:ascii="Times New Roman" w:hAnsi="Times New Roman" w:cs="Times New Roman"/>
          <w:sz w:val="24"/>
          <w:szCs w:val="24"/>
        </w:rPr>
        <w:t>Model Fit: 76% correct (82.3% specificity; 67.2% sensitivity).</w:t>
      </w:r>
    </w:p>
    <w:p w14:paraId="2E7E5418" w14:textId="77777777" w:rsidR="00A36492" w:rsidRPr="007F7CED" w:rsidRDefault="00A36492" w:rsidP="00A36492">
      <w:pPr>
        <w:autoSpaceDE w:val="0"/>
        <w:autoSpaceDN w:val="0"/>
        <w:adjustRightInd w:val="0"/>
        <w:spacing w:after="0" w:line="240" w:lineRule="auto"/>
        <w:rPr>
          <w:rFonts w:ascii="Times New Roman" w:hAnsi="Times New Roman" w:cs="Times New Roman"/>
          <w:kern w:val="0"/>
          <w:sz w:val="24"/>
          <w:szCs w:val="24"/>
        </w:rPr>
      </w:pPr>
    </w:p>
    <w:tbl>
      <w:tblPr>
        <w:tblW w:w="654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737"/>
        <w:gridCol w:w="737"/>
        <w:gridCol w:w="1169"/>
        <w:gridCol w:w="1030"/>
        <w:gridCol w:w="1399"/>
        <w:gridCol w:w="1476"/>
      </w:tblGrid>
      <w:tr w:rsidR="00A36492" w:rsidRPr="007F7CED" w14:paraId="4D7314B7" w14:textId="77777777" w:rsidTr="006A640E">
        <w:trPr>
          <w:cantSplit/>
        </w:trPr>
        <w:tc>
          <w:tcPr>
            <w:tcW w:w="6544" w:type="dxa"/>
            <w:gridSpan w:val="6"/>
            <w:tcBorders>
              <w:bottom w:val="nil"/>
            </w:tcBorders>
            <w:shd w:val="clear" w:color="auto" w:fill="auto"/>
            <w:vAlign w:val="center"/>
          </w:tcPr>
          <w:p w14:paraId="3F6CD6A4"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rPr>
            </w:pPr>
            <w:r w:rsidRPr="007F7CED">
              <w:rPr>
                <w:rFonts w:ascii="Arial" w:hAnsi="Arial" w:cs="Arial"/>
                <w:b/>
                <w:bCs/>
                <w:color w:val="000000" w:themeColor="text1"/>
                <w:kern w:val="0"/>
              </w:rPr>
              <w:t>Depression</w:t>
            </w:r>
          </w:p>
        </w:tc>
      </w:tr>
      <w:tr w:rsidR="00A36492" w:rsidRPr="007F7CED" w14:paraId="7460C6E4" w14:textId="77777777" w:rsidTr="006A640E">
        <w:trPr>
          <w:cantSplit/>
        </w:trPr>
        <w:tc>
          <w:tcPr>
            <w:tcW w:w="1474" w:type="dxa"/>
            <w:gridSpan w:val="2"/>
            <w:tcBorders>
              <w:top w:val="nil"/>
              <w:bottom w:val="single" w:sz="4" w:space="0" w:color="auto"/>
            </w:tcBorders>
            <w:shd w:val="clear" w:color="auto" w:fill="auto"/>
            <w:vAlign w:val="bottom"/>
          </w:tcPr>
          <w:p w14:paraId="52EE80BA" w14:textId="77777777" w:rsidR="00A36492" w:rsidRPr="007F7CED" w:rsidRDefault="00A36492" w:rsidP="006A640E">
            <w:pPr>
              <w:autoSpaceDE w:val="0"/>
              <w:autoSpaceDN w:val="0"/>
              <w:adjustRightInd w:val="0"/>
              <w:spacing w:after="0" w:line="240" w:lineRule="auto"/>
              <w:rPr>
                <w:rFonts w:ascii="Times New Roman" w:hAnsi="Times New Roman" w:cs="Times New Roman"/>
                <w:color w:val="000000" w:themeColor="text1"/>
                <w:kern w:val="0"/>
                <w:sz w:val="24"/>
                <w:szCs w:val="24"/>
              </w:rPr>
            </w:pPr>
          </w:p>
        </w:tc>
        <w:tc>
          <w:tcPr>
            <w:tcW w:w="1168" w:type="dxa"/>
            <w:tcBorders>
              <w:top w:val="nil"/>
              <w:bottom w:val="single" w:sz="4" w:space="0" w:color="auto"/>
            </w:tcBorders>
            <w:shd w:val="clear" w:color="auto" w:fill="auto"/>
            <w:vAlign w:val="bottom"/>
          </w:tcPr>
          <w:p w14:paraId="22CD4E04"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Frequency</w:t>
            </w:r>
          </w:p>
        </w:tc>
        <w:tc>
          <w:tcPr>
            <w:tcW w:w="1029" w:type="dxa"/>
            <w:tcBorders>
              <w:top w:val="nil"/>
              <w:bottom w:val="single" w:sz="4" w:space="0" w:color="auto"/>
            </w:tcBorders>
            <w:shd w:val="clear" w:color="auto" w:fill="auto"/>
            <w:vAlign w:val="bottom"/>
          </w:tcPr>
          <w:p w14:paraId="3936BF41"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Percent</w:t>
            </w:r>
          </w:p>
        </w:tc>
        <w:tc>
          <w:tcPr>
            <w:tcW w:w="1398" w:type="dxa"/>
            <w:tcBorders>
              <w:top w:val="nil"/>
              <w:bottom w:val="single" w:sz="4" w:space="0" w:color="auto"/>
            </w:tcBorders>
            <w:shd w:val="clear" w:color="auto" w:fill="auto"/>
            <w:vAlign w:val="bottom"/>
          </w:tcPr>
          <w:p w14:paraId="0453E540"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Valid Percent</w:t>
            </w:r>
          </w:p>
        </w:tc>
        <w:tc>
          <w:tcPr>
            <w:tcW w:w="1475" w:type="dxa"/>
            <w:tcBorders>
              <w:top w:val="nil"/>
              <w:bottom w:val="single" w:sz="4" w:space="0" w:color="auto"/>
            </w:tcBorders>
            <w:shd w:val="clear" w:color="auto" w:fill="auto"/>
            <w:vAlign w:val="bottom"/>
          </w:tcPr>
          <w:p w14:paraId="218E8A6A" w14:textId="77777777" w:rsidR="00A36492" w:rsidRPr="007F7CED" w:rsidRDefault="00A36492" w:rsidP="006A640E">
            <w:pPr>
              <w:autoSpaceDE w:val="0"/>
              <w:autoSpaceDN w:val="0"/>
              <w:adjustRightInd w:val="0"/>
              <w:spacing w:after="0" w:line="320" w:lineRule="atLeast"/>
              <w:ind w:left="60" w:right="60"/>
              <w:jc w:val="center"/>
              <w:rPr>
                <w:rFonts w:ascii="Arial" w:hAnsi="Arial" w:cs="Arial"/>
                <w:color w:val="000000" w:themeColor="text1"/>
                <w:kern w:val="0"/>
                <w:sz w:val="18"/>
                <w:szCs w:val="18"/>
              </w:rPr>
            </w:pPr>
            <w:r w:rsidRPr="007F7CED">
              <w:rPr>
                <w:rFonts w:ascii="Arial" w:hAnsi="Arial" w:cs="Arial"/>
                <w:color w:val="000000" w:themeColor="text1"/>
                <w:kern w:val="0"/>
                <w:sz w:val="18"/>
                <w:szCs w:val="18"/>
              </w:rPr>
              <w:t>Cumulative Percent</w:t>
            </w:r>
          </w:p>
        </w:tc>
      </w:tr>
      <w:tr w:rsidR="00A36492" w:rsidRPr="007F7CED" w14:paraId="3A3BB7C2" w14:textId="77777777" w:rsidTr="006A640E">
        <w:trPr>
          <w:cantSplit/>
        </w:trPr>
        <w:tc>
          <w:tcPr>
            <w:tcW w:w="737" w:type="dxa"/>
            <w:vMerge w:val="restart"/>
            <w:tcBorders>
              <w:top w:val="single" w:sz="4" w:space="0" w:color="auto"/>
            </w:tcBorders>
            <w:shd w:val="clear" w:color="auto" w:fill="auto"/>
          </w:tcPr>
          <w:p w14:paraId="3FBB167C"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Valid</w:t>
            </w:r>
          </w:p>
        </w:tc>
        <w:tc>
          <w:tcPr>
            <w:tcW w:w="737" w:type="dxa"/>
            <w:tcBorders>
              <w:top w:val="single" w:sz="4" w:space="0" w:color="auto"/>
            </w:tcBorders>
            <w:shd w:val="clear" w:color="auto" w:fill="auto"/>
          </w:tcPr>
          <w:p w14:paraId="075A5E0E"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Yes</w:t>
            </w:r>
          </w:p>
        </w:tc>
        <w:tc>
          <w:tcPr>
            <w:tcW w:w="1168" w:type="dxa"/>
            <w:tcBorders>
              <w:top w:val="single" w:sz="4" w:space="0" w:color="auto"/>
            </w:tcBorders>
            <w:shd w:val="clear" w:color="auto" w:fill="auto"/>
          </w:tcPr>
          <w:p w14:paraId="30D6EBBF"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11565</w:t>
            </w:r>
          </w:p>
        </w:tc>
        <w:tc>
          <w:tcPr>
            <w:tcW w:w="1029" w:type="dxa"/>
            <w:tcBorders>
              <w:top w:val="single" w:sz="4" w:space="0" w:color="auto"/>
            </w:tcBorders>
            <w:shd w:val="clear" w:color="auto" w:fill="auto"/>
          </w:tcPr>
          <w:p w14:paraId="401EBBC1"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c>
          <w:tcPr>
            <w:tcW w:w="1398" w:type="dxa"/>
            <w:tcBorders>
              <w:top w:val="single" w:sz="4" w:space="0" w:color="auto"/>
            </w:tcBorders>
            <w:shd w:val="clear" w:color="auto" w:fill="auto"/>
          </w:tcPr>
          <w:p w14:paraId="7615ABE2"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c>
          <w:tcPr>
            <w:tcW w:w="1475" w:type="dxa"/>
            <w:tcBorders>
              <w:top w:val="single" w:sz="4" w:space="0" w:color="auto"/>
            </w:tcBorders>
            <w:shd w:val="clear" w:color="auto" w:fill="auto"/>
          </w:tcPr>
          <w:p w14:paraId="386FF5F6"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41.5</w:t>
            </w:r>
          </w:p>
        </w:tc>
      </w:tr>
      <w:tr w:rsidR="00A36492" w:rsidRPr="007F7CED" w14:paraId="63D09737" w14:textId="77777777" w:rsidTr="006A640E">
        <w:trPr>
          <w:cantSplit/>
        </w:trPr>
        <w:tc>
          <w:tcPr>
            <w:tcW w:w="737" w:type="dxa"/>
            <w:vMerge/>
            <w:shd w:val="clear" w:color="auto" w:fill="auto"/>
          </w:tcPr>
          <w:p w14:paraId="20055BB4" w14:textId="77777777" w:rsidR="00A36492" w:rsidRPr="007F7CED" w:rsidRDefault="00A36492" w:rsidP="006A640E">
            <w:pPr>
              <w:autoSpaceDE w:val="0"/>
              <w:autoSpaceDN w:val="0"/>
              <w:adjustRightInd w:val="0"/>
              <w:spacing w:after="0" w:line="240" w:lineRule="auto"/>
              <w:rPr>
                <w:rFonts w:ascii="Arial" w:hAnsi="Arial" w:cs="Arial"/>
                <w:color w:val="000000" w:themeColor="text1"/>
                <w:kern w:val="0"/>
                <w:sz w:val="18"/>
                <w:szCs w:val="18"/>
              </w:rPr>
            </w:pPr>
          </w:p>
        </w:tc>
        <w:tc>
          <w:tcPr>
            <w:tcW w:w="737" w:type="dxa"/>
            <w:shd w:val="clear" w:color="auto" w:fill="auto"/>
          </w:tcPr>
          <w:p w14:paraId="089BD426"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No</w:t>
            </w:r>
          </w:p>
        </w:tc>
        <w:tc>
          <w:tcPr>
            <w:tcW w:w="1168" w:type="dxa"/>
            <w:shd w:val="clear" w:color="auto" w:fill="auto"/>
          </w:tcPr>
          <w:p w14:paraId="5D265B6B"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16335</w:t>
            </w:r>
          </w:p>
        </w:tc>
        <w:tc>
          <w:tcPr>
            <w:tcW w:w="1029" w:type="dxa"/>
            <w:shd w:val="clear" w:color="auto" w:fill="auto"/>
          </w:tcPr>
          <w:p w14:paraId="238DF8C1"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58.5</w:t>
            </w:r>
          </w:p>
        </w:tc>
        <w:tc>
          <w:tcPr>
            <w:tcW w:w="1398" w:type="dxa"/>
            <w:shd w:val="clear" w:color="auto" w:fill="auto"/>
          </w:tcPr>
          <w:p w14:paraId="188CD8A3"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58.5</w:t>
            </w:r>
          </w:p>
        </w:tc>
        <w:tc>
          <w:tcPr>
            <w:tcW w:w="1475" w:type="dxa"/>
            <w:shd w:val="clear" w:color="auto" w:fill="auto"/>
          </w:tcPr>
          <w:p w14:paraId="6E5F947E"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r>
      <w:tr w:rsidR="00A36492" w:rsidRPr="007F7CED" w14:paraId="275F5F5F" w14:textId="77777777" w:rsidTr="006A640E">
        <w:trPr>
          <w:cantSplit/>
        </w:trPr>
        <w:tc>
          <w:tcPr>
            <w:tcW w:w="737" w:type="dxa"/>
            <w:vMerge/>
            <w:shd w:val="clear" w:color="auto" w:fill="auto"/>
          </w:tcPr>
          <w:p w14:paraId="5445F31E" w14:textId="77777777" w:rsidR="00A36492" w:rsidRPr="007F7CED" w:rsidRDefault="00A36492" w:rsidP="006A640E">
            <w:pPr>
              <w:autoSpaceDE w:val="0"/>
              <w:autoSpaceDN w:val="0"/>
              <w:adjustRightInd w:val="0"/>
              <w:spacing w:after="0" w:line="240" w:lineRule="auto"/>
              <w:rPr>
                <w:rFonts w:ascii="Arial" w:hAnsi="Arial" w:cs="Arial"/>
                <w:color w:val="000000" w:themeColor="text1"/>
                <w:kern w:val="0"/>
                <w:sz w:val="18"/>
                <w:szCs w:val="18"/>
              </w:rPr>
            </w:pPr>
          </w:p>
        </w:tc>
        <w:tc>
          <w:tcPr>
            <w:tcW w:w="737" w:type="dxa"/>
            <w:shd w:val="clear" w:color="auto" w:fill="auto"/>
          </w:tcPr>
          <w:p w14:paraId="1A8CB372" w14:textId="77777777" w:rsidR="00A36492" w:rsidRPr="007F7CED" w:rsidRDefault="00A36492" w:rsidP="006A640E">
            <w:pPr>
              <w:autoSpaceDE w:val="0"/>
              <w:autoSpaceDN w:val="0"/>
              <w:adjustRightInd w:val="0"/>
              <w:spacing w:after="0" w:line="320" w:lineRule="atLeast"/>
              <w:ind w:left="60" w:right="60"/>
              <w:rPr>
                <w:rFonts w:ascii="Arial" w:hAnsi="Arial" w:cs="Arial"/>
                <w:color w:val="000000" w:themeColor="text1"/>
                <w:kern w:val="0"/>
                <w:sz w:val="18"/>
                <w:szCs w:val="18"/>
              </w:rPr>
            </w:pPr>
            <w:r w:rsidRPr="007F7CED">
              <w:rPr>
                <w:rFonts w:ascii="Arial" w:hAnsi="Arial" w:cs="Arial"/>
                <w:color w:val="000000" w:themeColor="text1"/>
                <w:kern w:val="0"/>
                <w:sz w:val="18"/>
                <w:szCs w:val="18"/>
              </w:rPr>
              <w:t>Total</w:t>
            </w:r>
          </w:p>
        </w:tc>
        <w:tc>
          <w:tcPr>
            <w:tcW w:w="1168" w:type="dxa"/>
            <w:shd w:val="clear" w:color="auto" w:fill="auto"/>
          </w:tcPr>
          <w:p w14:paraId="22CCE552"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27900</w:t>
            </w:r>
          </w:p>
        </w:tc>
        <w:tc>
          <w:tcPr>
            <w:tcW w:w="1029" w:type="dxa"/>
            <w:shd w:val="clear" w:color="auto" w:fill="auto"/>
          </w:tcPr>
          <w:p w14:paraId="29864A84"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c>
          <w:tcPr>
            <w:tcW w:w="1398" w:type="dxa"/>
            <w:shd w:val="clear" w:color="auto" w:fill="auto"/>
          </w:tcPr>
          <w:p w14:paraId="1FE5679F" w14:textId="77777777" w:rsidR="00A36492" w:rsidRPr="007F7CED" w:rsidRDefault="00A36492" w:rsidP="006A640E">
            <w:pPr>
              <w:autoSpaceDE w:val="0"/>
              <w:autoSpaceDN w:val="0"/>
              <w:adjustRightInd w:val="0"/>
              <w:spacing w:after="0" w:line="320" w:lineRule="atLeast"/>
              <w:ind w:left="60" w:right="60"/>
              <w:jc w:val="right"/>
              <w:rPr>
                <w:rFonts w:ascii="Arial" w:hAnsi="Arial" w:cs="Arial"/>
                <w:color w:val="000000" w:themeColor="text1"/>
                <w:kern w:val="0"/>
                <w:sz w:val="18"/>
                <w:szCs w:val="18"/>
              </w:rPr>
            </w:pPr>
            <w:r w:rsidRPr="007F7CED">
              <w:rPr>
                <w:rFonts w:ascii="Arial" w:hAnsi="Arial" w:cs="Arial"/>
                <w:color w:val="000000" w:themeColor="text1"/>
                <w:kern w:val="0"/>
                <w:sz w:val="18"/>
                <w:szCs w:val="18"/>
              </w:rPr>
              <w:t>100.0</w:t>
            </w:r>
          </w:p>
        </w:tc>
        <w:tc>
          <w:tcPr>
            <w:tcW w:w="1475" w:type="dxa"/>
            <w:shd w:val="clear" w:color="auto" w:fill="auto"/>
            <w:vAlign w:val="center"/>
          </w:tcPr>
          <w:p w14:paraId="3EC5050B" w14:textId="77777777" w:rsidR="00A36492" w:rsidRPr="007F7CED" w:rsidRDefault="00A36492" w:rsidP="006A640E">
            <w:pPr>
              <w:autoSpaceDE w:val="0"/>
              <w:autoSpaceDN w:val="0"/>
              <w:adjustRightInd w:val="0"/>
              <w:spacing w:after="0" w:line="240" w:lineRule="auto"/>
              <w:rPr>
                <w:rFonts w:ascii="Times New Roman" w:hAnsi="Times New Roman" w:cs="Times New Roman"/>
                <w:color w:val="000000" w:themeColor="text1"/>
                <w:kern w:val="0"/>
                <w:sz w:val="24"/>
                <w:szCs w:val="24"/>
              </w:rPr>
            </w:pPr>
          </w:p>
        </w:tc>
      </w:tr>
    </w:tbl>
    <w:p w14:paraId="10DA9A54" w14:textId="77777777" w:rsidR="00A36492" w:rsidRPr="007F7CED" w:rsidRDefault="00A36492" w:rsidP="00A36492">
      <w:pPr>
        <w:autoSpaceDE w:val="0"/>
        <w:autoSpaceDN w:val="0"/>
        <w:adjustRightInd w:val="0"/>
        <w:spacing w:after="0" w:line="400" w:lineRule="atLeast"/>
        <w:rPr>
          <w:rFonts w:ascii="Times New Roman" w:hAnsi="Times New Roman" w:cs="Times New Roman"/>
          <w:kern w:val="0"/>
          <w:sz w:val="24"/>
          <w:szCs w:val="24"/>
        </w:rPr>
      </w:pPr>
    </w:p>
    <w:tbl>
      <w:tblPr>
        <w:tblW w:w="4711" w:type="pct"/>
        <w:tblBorders>
          <w:top w:val="single" w:sz="4" w:space="0" w:color="auto"/>
          <w:bottom w:val="single" w:sz="4" w:space="0" w:color="auto"/>
        </w:tblBorders>
        <w:tblLook w:val="04A0" w:firstRow="1" w:lastRow="0" w:firstColumn="1" w:lastColumn="0" w:noHBand="0" w:noVBand="1"/>
      </w:tblPr>
      <w:tblGrid>
        <w:gridCol w:w="1407"/>
        <w:gridCol w:w="2480"/>
        <w:gridCol w:w="743"/>
        <w:gridCol w:w="873"/>
        <w:gridCol w:w="1014"/>
        <w:gridCol w:w="1987"/>
      </w:tblGrid>
      <w:tr w:rsidR="00A36492" w:rsidRPr="00BF041C" w14:paraId="1194E41F" w14:textId="77777777" w:rsidTr="006A640E">
        <w:trPr>
          <w:trHeight w:val="300"/>
        </w:trPr>
        <w:tc>
          <w:tcPr>
            <w:tcW w:w="827" w:type="pct"/>
            <w:tcBorders>
              <w:top w:val="nil"/>
              <w:bottom w:val="single" w:sz="4" w:space="0" w:color="auto"/>
            </w:tcBorders>
            <w:shd w:val="clear" w:color="auto" w:fill="auto"/>
            <w:vAlign w:val="bottom"/>
          </w:tcPr>
          <w:p w14:paraId="2D5F41B0"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c>
          <w:tcPr>
            <w:tcW w:w="1458" w:type="pct"/>
            <w:tcBorders>
              <w:top w:val="nil"/>
              <w:bottom w:val="single" w:sz="4" w:space="0" w:color="auto"/>
            </w:tcBorders>
            <w:shd w:val="clear" w:color="auto" w:fill="auto"/>
            <w:vAlign w:val="bottom"/>
          </w:tcPr>
          <w:p w14:paraId="3A67C71E"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437" w:type="pct"/>
            <w:tcBorders>
              <w:top w:val="nil"/>
              <w:bottom w:val="single" w:sz="4" w:space="0" w:color="auto"/>
            </w:tcBorders>
            <w:shd w:val="clear" w:color="auto" w:fill="auto"/>
            <w:vAlign w:val="bottom"/>
          </w:tcPr>
          <w:p w14:paraId="3A4E9CFF"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1109" w:type="pct"/>
            <w:gridSpan w:val="2"/>
            <w:tcBorders>
              <w:top w:val="nil"/>
              <w:bottom w:val="single" w:sz="4" w:space="0" w:color="auto"/>
            </w:tcBorders>
            <w:shd w:val="clear" w:color="auto" w:fill="auto"/>
            <w:vAlign w:val="bottom"/>
          </w:tcPr>
          <w:p w14:paraId="74E9A6F8" w14:textId="77777777" w:rsidR="00A36492" w:rsidRPr="001874F4"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1874F4">
              <w:rPr>
                <w:rFonts w:ascii="Arial" w:eastAsia="Times New Roman" w:hAnsi="Arial" w:cs="Arial"/>
                <w:b/>
                <w:bCs/>
                <w:color w:val="000000"/>
                <w:kern w:val="0"/>
                <w:sz w:val="18"/>
                <w:szCs w:val="18"/>
                <w:lang w:eastAsia="en-NG"/>
                <w14:ligatures w14:val="none"/>
              </w:rPr>
              <w:t>Predicted</w:t>
            </w:r>
          </w:p>
        </w:tc>
        <w:tc>
          <w:tcPr>
            <w:tcW w:w="1168" w:type="pct"/>
            <w:tcBorders>
              <w:top w:val="nil"/>
              <w:bottom w:val="single" w:sz="4" w:space="0" w:color="auto"/>
            </w:tcBorders>
            <w:shd w:val="clear" w:color="auto" w:fill="auto"/>
            <w:vAlign w:val="bottom"/>
          </w:tcPr>
          <w:p w14:paraId="42B76B1C"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r>
      <w:tr w:rsidR="00A36492" w:rsidRPr="00BF041C" w14:paraId="236A5D55" w14:textId="77777777" w:rsidTr="006A640E">
        <w:trPr>
          <w:trHeight w:val="300"/>
        </w:trPr>
        <w:tc>
          <w:tcPr>
            <w:tcW w:w="827" w:type="pct"/>
            <w:tcBorders>
              <w:top w:val="nil"/>
              <w:bottom w:val="single" w:sz="4" w:space="0" w:color="auto"/>
            </w:tcBorders>
            <w:shd w:val="clear" w:color="auto" w:fill="auto"/>
            <w:vAlign w:val="bottom"/>
            <w:hideMark/>
          </w:tcPr>
          <w:p w14:paraId="18002FAA"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p>
        </w:tc>
        <w:tc>
          <w:tcPr>
            <w:tcW w:w="1458" w:type="pct"/>
            <w:tcBorders>
              <w:top w:val="nil"/>
              <w:bottom w:val="single" w:sz="4" w:space="0" w:color="auto"/>
            </w:tcBorders>
            <w:shd w:val="clear" w:color="auto" w:fill="auto"/>
            <w:vAlign w:val="bottom"/>
            <w:hideMark/>
          </w:tcPr>
          <w:p w14:paraId="5A313B49"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437" w:type="pct"/>
            <w:tcBorders>
              <w:top w:val="nil"/>
              <w:bottom w:val="single" w:sz="4" w:space="0" w:color="auto"/>
            </w:tcBorders>
            <w:shd w:val="clear" w:color="auto" w:fill="auto"/>
            <w:vAlign w:val="bottom"/>
            <w:hideMark/>
          </w:tcPr>
          <w:p w14:paraId="2DBC5801" w14:textId="77777777" w:rsidR="00A36492" w:rsidRPr="00BF041C"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1109" w:type="pct"/>
            <w:gridSpan w:val="2"/>
            <w:tcBorders>
              <w:top w:val="nil"/>
              <w:bottom w:val="single" w:sz="4" w:space="0" w:color="auto"/>
            </w:tcBorders>
            <w:shd w:val="clear" w:color="auto" w:fill="auto"/>
            <w:vAlign w:val="bottom"/>
            <w:hideMark/>
          </w:tcPr>
          <w:p w14:paraId="2D88FB33" w14:textId="77777777" w:rsidR="00A36492" w:rsidRPr="00BF041C"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BF041C">
              <w:rPr>
                <w:rFonts w:ascii="Arial" w:eastAsia="Times New Roman" w:hAnsi="Arial" w:cs="Arial"/>
                <w:b/>
                <w:bCs/>
                <w:color w:val="000000"/>
                <w:kern w:val="0"/>
                <w:sz w:val="18"/>
                <w:szCs w:val="18"/>
                <w:lang w:eastAsia="en-NG"/>
                <w14:ligatures w14:val="none"/>
              </w:rPr>
              <w:t>Depression</w:t>
            </w:r>
          </w:p>
        </w:tc>
        <w:tc>
          <w:tcPr>
            <w:tcW w:w="1168" w:type="pct"/>
            <w:tcBorders>
              <w:top w:val="nil"/>
              <w:bottom w:val="single" w:sz="4" w:space="0" w:color="auto"/>
            </w:tcBorders>
            <w:shd w:val="clear" w:color="auto" w:fill="auto"/>
            <w:vAlign w:val="bottom"/>
            <w:hideMark/>
          </w:tcPr>
          <w:p w14:paraId="7B19AF63" w14:textId="77777777" w:rsidR="00A36492" w:rsidRPr="00BF041C" w:rsidRDefault="00A36492" w:rsidP="006A640E">
            <w:pPr>
              <w:spacing w:after="0" w:line="360" w:lineRule="auto"/>
              <w:jc w:val="center"/>
              <w:rPr>
                <w:rFonts w:ascii="Arial" w:eastAsia="Times New Roman" w:hAnsi="Arial" w:cs="Arial"/>
                <w:b/>
                <w:bCs/>
                <w:color w:val="000000"/>
                <w:kern w:val="0"/>
                <w:sz w:val="18"/>
                <w:szCs w:val="18"/>
                <w:lang w:eastAsia="en-NG"/>
                <w14:ligatures w14:val="none"/>
              </w:rPr>
            </w:pPr>
            <w:r w:rsidRPr="00BF041C">
              <w:rPr>
                <w:rFonts w:ascii="Arial" w:eastAsia="Times New Roman" w:hAnsi="Arial" w:cs="Arial"/>
                <w:b/>
                <w:bCs/>
                <w:color w:val="000000"/>
                <w:kern w:val="0"/>
                <w:sz w:val="18"/>
                <w:szCs w:val="18"/>
                <w:lang w:eastAsia="en-NG"/>
                <w14:ligatures w14:val="none"/>
              </w:rPr>
              <w:t>Percentage Correct</w:t>
            </w:r>
          </w:p>
        </w:tc>
      </w:tr>
      <w:tr w:rsidR="00A36492" w:rsidRPr="00BF041C" w14:paraId="3B536971" w14:textId="77777777" w:rsidTr="006A640E">
        <w:trPr>
          <w:trHeight w:val="300"/>
        </w:trPr>
        <w:tc>
          <w:tcPr>
            <w:tcW w:w="827" w:type="pct"/>
            <w:tcBorders>
              <w:top w:val="single" w:sz="4" w:space="0" w:color="auto"/>
              <w:bottom w:val="single" w:sz="4" w:space="0" w:color="auto"/>
            </w:tcBorders>
            <w:shd w:val="clear" w:color="auto" w:fill="auto"/>
            <w:vAlign w:val="bottom"/>
            <w:hideMark/>
          </w:tcPr>
          <w:p w14:paraId="428B3CCD"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tcBorders>
              <w:top w:val="single" w:sz="4" w:space="0" w:color="auto"/>
              <w:bottom w:val="single" w:sz="4" w:space="0" w:color="auto"/>
            </w:tcBorders>
            <w:shd w:val="clear" w:color="auto" w:fill="auto"/>
            <w:vAlign w:val="bottom"/>
            <w:hideMark/>
          </w:tcPr>
          <w:p w14:paraId="72A863C7"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r>
              <w:rPr>
                <w:rFonts w:ascii="Arial" w:eastAsia="Times New Roman" w:hAnsi="Arial" w:cs="Arial"/>
                <w:color w:val="000000"/>
                <w:kern w:val="0"/>
                <w:sz w:val="18"/>
                <w:szCs w:val="18"/>
                <w:lang w:eastAsia="en-NG"/>
                <w14:ligatures w14:val="none"/>
              </w:rPr>
              <w:t>Observed</w:t>
            </w:r>
          </w:p>
        </w:tc>
        <w:tc>
          <w:tcPr>
            <w:tcW w:w="437" w:type="pct"/>
            <w:tcBorders>
              <w:top w:val="single" w:sz="4" w:space="0" w:color="auto"/>
              <w:bottom w:val="single" w:sz="4" w:space="0" w:color="auto"/>
            </w:tcBorders>
            <w:shd w:val="clear" w:color="auto" w:fill="auto"/>
            <w:vAlign w:val="bottom"/>
            <w:hideMark/>
          </w:tcPr>
          <w:p w14:paraId="4108CB4B"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13" w:type="pct"/>
            <w:tcBorders>
              <w:top w:val="single" w:sz="4" w:space="0" w:color="auto"/>
              <w:bottom w:val="single" w:sz="4" w:space="0" w:color="auto"/>
            </w:tcBorders>
            <w:shd w:val="clear" w:color="auto" w:fill="auto"/>
            <w:vAlign w:val="bottom"/>
            <w:hideMark/>
          </w:tcPr>
          <w:p w14:paraId="096BDBC9"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Yes</w:t>
            </w:r>
          </w:p>
        </w:tc>
        <w:tc>
          <w:tcPr>
            <w:tcW w:w="596" w:type="pct"/>
            <w:tcBorders>
              <w:top w:val="single" w:sz="4" w:space="0" w:color="auto"/>
              <w:bottom w:val="single" w:sz="4" w:space="0" w:color="auto"/>
            </w:tcBorders>
            <w:shd w:val="clear" w:color="auto" w:fill="auto"/>
            <w:vAlign w:val="bottom"/>
            <w:hideMark/>
          </w:tcPr>
          <w:p w14:paraId="09DB51D7"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No</w:t>
            </w:r>
          </w:p>
        </w:tc>
        <w:tc>
          <w:tcPr>
            <w:tcW w:w="1168" w:type="pct"/>
            <w:tcBorders>
              <w:top w:val="single" w:sz="4" w:space="0" w:color="auto"/>
              <w:bottom w:val="single" w:sz="4" w:space="0" w:color="auto"/>
            </w:tcBorders>
            <w:shd w:val="clear" w:color="auto" w:fill="auto"/>
            <w:vAlign w:val="bottom"/>
            <w:hideMark/>
          </w:tcPr>
          <w:p w14:paraId="3DDF51D7"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r>
      <w:tr w:rsidR="00A36492" w:rsidRPr="00BF041C" w14:paraId="121B348B" w14:textId="77777777" w:rsidTr="006A640E">
        <w:trPr>
          <w:trHeight w:val="300"/>
        </w:trPr>
        <w:tc>
          <w:tcPr>
            <w:tcW w:w="827" w:type="pct"/>
            <w:tcBorders>
              <w:top w:val="single" w:sz="4" w:space="0" w:color="auto"/>
            </w:tcBorders>
            <w:shd w:val="clear" w:color="auto" w:fill="auto"/>
            <w:hideMark/>
          </w:tcPr>
          <w:p w14:paraId="0A00E0B5"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Step 1</w:t>
            </w:r>
          </w:p>
        </w:tc>
        <w:tc>
          <w:tcPr>
            <w:tcW w:w="1458" w:type="pct"/>
            <w:tcBorders>
              <w:top w:val="single" w:sz="4" w:space="0" w:color="auto"/>
            </w:tcBorders>
            <w:shd w:val="clear" w:color="auto" w:fill="auto"/>
            <w:hideMark/>
          </w:tcPr>
          <w:p w14:paraId="5EB92C43"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Depression</w:t>
            </w:r>
          </w:p>
        </w:tc>
        <w:tc>
          <w:tcPr>
            <w:tcW w:w="437" w:type="pct"/>
            <w:tcBorders>
              <w:top w:val="single" w:sz="4" w:space="0" w:color="auto"/>
            </w:tcBorders>
            <w:shd w:val="clear" w:color="auto" w:fill="auto"/>
            <w:hideMark/>
          </w:tcPr>
          <w:p w14:paraId="00E3DC23"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Yes</w:t>
            </w:r>
          </w:p>
        </w:tc>
        <w:tc>
          <w:tcPr>
            <w:tcW w:w="513" w:type="pct"/>
            <w:tcBorders>
              <w:top w:val="single" w:sz="4" w:space="0" w:color="auto"/>
            </w:tcBorders>
            <w:shd w:val="clear" w:color="auto" w:fill="auto"/>
            <w:noWrap/>
            <w:hideMark/>
          </w:tcPr>
          <w:p w14:paraId="4080DD5E" w14:textId="77777777" w:rsidR="00A36492" w:rsidRPr="00BF041C" w:rsidRDefault="00A36492" w:rsidP="006A640E">
            <w:pPr>
              <w:spacing w:after="0" w:line="360" w:lineRule="auto"/>
              <w:jc w:val="center"/>
              <w:rPr>
                <w:rFonts w:ascii="Arial" w:eastAsia="Times New Roman" w:hAnsi="Arial" w:cs="Arial"/>
                <w:color w:val="000000"/>
                <w:kern w:val="0"/>
                <w:sz w:val="18"/>
                <w:szCs w:val="18"/>
                <w:lang w:eastAsia="en-NG"/>
                <w14:ligatures w14:val="none"/>
              </w:rPr>
            </w:pPr>
            <w:r>
              <w:rPr>
                <w:rFonts w:ascii="Arial" w:eastAsia="Times New Roman" w:hAnsi="Arial" w:cs="Arial"/>
                <w:color w:val="000000"/>
                <w:kern w:val="0"/>
                <w:sz w:val="18"/>
                <w:szCs w:val="18"/>
                <w:lang w:eastAsia="en-NG"/>
                <w14:ligatures w14:val="none"/>
              </w:rPr>
              <w:t xml:space="preserve">    </w:t>
            </w:r>
            <w:r w:rsidRPr="00BF041C">
              <w:rPr>
                <w:rFonts w:ascii="Arial" w:eastAsia="Times New Roman" w:hAnsi="Arial" w:cs="Arial"/>
                <w:color w:val="000000"/>
                <w:kern w:val="0"/>
                <w:sz w:val="18"/>
                <w:szCs w:val="18"/>
                <w:lang w:eastAsia="en-NG"/>
                <w14:ligatures w14:val="none"/>
              </w:rPr>
              <w:t>7776</w:t>
            </w:r>
          </w:p>
        </w:tc>
        <w:tc>
          <w:tcPr>
            <w:tcW w:w="596" w:type="pct"/>
            <w:tcBorders>
              <w:top w:val="single" w:sz="4" w:space="0" w:color="auto"/>
            </w:tcBorders>
            <w:shd w:val="clear" w:color="auto" w:fill="auto"/>
            <w:noWrap/>
            <w:hideMark/>
          </w:tcPr>
          <w:p w14:paraId="2AB930E6"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3787</w:t>
            </w:r>
          </w:p>
        </w:tc>
        <w:tc>
          <w:tcPr>
            <w:tcW w:w="1168" w:type="pct"/>
            <w:tcBorders>
              <w:top w:val="single" w:sz="4" w:space="0" w:color="auto"/>
            </w:tcBorders>
            <w:shd w:val="clear" w:color="auto" w:fill="auto"/>
            <w:noWrap/>
            <w:hideMark/>
          </w:tcPr>
          <w:p w14:paraId="1D95AD04"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67.2</w:t>
            </w:r>
          </w:p>
        </w:tc>
      </w:tr>
      <w:tr w:rsidR="00A36492" w:rsidRPr="00BF041C" w14:paraId="78CF73EE" w14:textId="77777777" w:rsidTr="006A640E">
        <w:trPr>
          <w:trHeight w:val="300"/>
        </w:trPr>
        <w:tc>
          <w:tcPr>
            <w:tcW w:w="827" w:type="pct"/>
            <w:shd w:val="clear" w:color="auto" w:fill="auto"/>
            <w:hideMark/>
          </w:tcPr>
          <w:p w14:paraId="38BB73EA"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shd w:val="clear" w:color="auto" w:fill="auto"/>
            <w:hideMark/>
          </w:tcPr>
          <w:p w14:paraId="0A5AB36D"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437" w:type="pct"/>
            <w:shd w:val="clear" w:color="auto" w:fill="auto"/>
            <w:hideMark/>
          </w:tcPr>
          <w:p w14:paraId="54A200C9"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No</w:t>
            </w:r>
          </w:p>
        </w:tc>
        <w:tc>
          <w:tcPr>
            <w:tcW w:w="513" w:type="pct"/>
            <w:shd w:val="clear" w:color="auto" w:fill="auto"/>
            <w:noWrap/>
            <w:hideMark/>
          </w:tcPr>
          <w:p w14:paraId="660514F4"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2897</w:t>
            </w:r>
          </w:p>
        </w:tc>
        <w:tc>
          <w:tcPr>
            <w:tcW w:w="596" w:type="pct"/>
            <w:shd w:val="clear" w:color="auto" w:fill="auto"/>
            <w:noWrap/>
            <w:hideMark/>
          </w:tcPr>
          <w:p w14:paraId="6C01D118"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13437</w:t>
            </w:r>
          </w:p>
        </w:tc>
        <w:tc>
          <w:tcPr>
            <w:tcW w:w="1168" w:type="pct"/>
            <w:shd w:val="clear" w:color="auto" w:fill="auto"/>
            <w:noWrap/>
            <w:hideMark/>
          </w:tcPr>
          <w:p w14:paraId="1CBF7A9C"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82.3</w:t>
            </w:r>
          </w:p>
        </w:tc>
      </w:tr>
      <w:tr w:rsidR="00A36492" w:rsidRPr="00BF041C" w14:paraId="708A182F" w14:textId="77777777" w:rsidTr="006A640E">
        <w:trPr>
          <w:trHeight w:val="300"/>
        </w:trPr>
        <w:tc>
          <w:tcPr>
            <w:tcW w:w="827" w:type="pct"/>
            <w:shd w:val="clear" w:color="auto" w:fill="auto"/>
            <w:hideMark/>
          </w:tcPr>
          <w:p w14:paraId="499F79AE"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458" w:type="pct"/>
            <w:shd w:val="clear" w:color="auto" w:fill="auto"/>
            <w:hideMark/>
          </w:tcPr>
          <w:p w14:paraId="060BEABF"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Overall Percentage</w:t>
            </w:r>
          </w:p>
        </w:tc>
        <w:tc>
          <w:tcPr>
            <w:tcW w:w="437" w:type="pct"/>
            <w:shd w:val="clear" w:color="auto" w:fill="auto"/>
            <w:hideMark/>
          </w:tcPr>
          <w:p w14:paraId="12394F65"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13" w:type="pct"/>
            <w:shd w:val="clear" w:color="auto" w:fill="auto"/>
            <w:hideMark/>
          </w:tcPr>
          <w:p w14:paraId="3BA79D66"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596" w:type="pct"/>
            <w:shd w:val="clear" w:color="auto" w:fill="auto"/>
            <w:hideMark/>
          </w:tcPr>
          <w:p w14:paraId="284E2560" w14:textId="77777777" w:rsidR="00A36492" w:rsidRPr="00BF041C" w:rsidRDefault="00A36492" w:rsidP="006A640E">
            <w:pPr>
              <w:spacing w:after="0" w:line="360" w:lineRule="auto"/>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 </w:t>
            </w:r>
          </w:p>
        </w:tc>
        <w:tc>
          <w:tcPr>
            <w:tcW w:w="1168" w:type="pct"/>
            <w:shd w:val="clear" w:color="auto" w:fill="auto"/>
            <w:noWrap/>
            <w:hideMark/>
          </w:tcPr>
          <w:p w14:paraId="58FCAD1D" w14:textId="77777777" w:rsidR="00A36492" w:rsidRPr="00BF041C" w:rsidRDefault="00A36492" w:rsidP="006A640E">
            <w:pPr>
              <w:spacing w:after="0" w:line="360" w:lineRule="auto"/>
              <w:jc w:val="right"/>
              <w:rPr>
                <w:rFonts w:ascii="Arial" w:eastAsia="Times New Roman" w:hAnsi="Arial" w:cs="Arial"/>
                <w:color w:val="000000"/>
                <w:kern w:val="0"/>
                <w:sz w:val="18"/>
                <w:szCs w:val="18"/>
                <w:lang w:eastAsia="en-NG"/>
                <w14:ligatures w14:val="none"/>
              </w:rPr>
            </w:pPr>
            <w:r w:rsidRPr="00BF041C">
              <w:rPr>
                <w:rFonts w:ascii="Arial" w:eastAsia="Times New Roman" w:hAnsi="Arial" w:cs="Arial"/>
                <w:color w:val="000000"/>
                <w:kern w:val="0"/>
                <w:sz w:val="18"/>
                <w:szCs w:val="18"/>
                <w:lang w:eastAsia="en-NG"/>
                <w14:ligatures w14:val="none"/>
              </w:rPr>
              <w:t>76.0</w:t>
            </w:r>
          </w:p>
        </w:tc>
      </w:tr>
    </w:tbl>
    <w:p w14:paraId="7CCEBD6E" w14:textId="77777777" w:rsidR="00A36492" w:rsidRDefault="00A36492" w:rsidP="00A36492"/>
    <w:tbl>
      <w:tblPr>
        <w:tblW w:w="5000" w:type="pct"/>
        <w:tblBorders>
          <w:top w:val="single" w:sz="4" w:space="0" w:color="auto"/>
          <w:bottom w:val="single" w:sz="4" w:space="0" w:color="auto"/>
        </w:tblBorders>
        <w:tblLook w:val="04A0" w:firstRow="1" w:lastRow="0" w:firstColumn="1" w:lastColumn="0" w:noHBand="0" w:noVBand="1"/>
      </w:tblPr>
      <w:tblGrid>
        <w:gridCol w:w="877"/>
        <w:gridCol w:w="1894"/>
        <w:gridCol w:w="796"/>
        <w:gridCol w:w="731"/>
        <w:gridCol w:w="1060"/>
        <w:gridCol w:w="403"/>
        <w:gridCol w:w="731"/>
        <w:gridCol w:w="848"/>
        <w:gridCol w:w="843"/>
        <w:gridCol w:w="843"/>
      </w:tblGrid>
      <w:tr w:rsidR="00A36492" w:rsidRPr="00BF041C" w14:paraId="75CDE15B" w14:textId="77777777" w:rsidTr="006A640E">
        <w:trPr>
          <w:trHeight w:val="600"/>
        </w:trPr>
        <w:tc>
          <w:tcPr>
            <w:tcW w:w="4066" w:type="pct"/>
            <w:gridSpan w:val="8"/>
            <w:tcBorders>
              <w:bottom w:val="nil"/>
            </w:tcBorders>
            <w:shd w:val="clear" w:color="auto" w:fill="auto"/>
            <w:vAlign w:val="center"/>
            <w:hideMark/>
          </w:tcPr>
          <w:p w14:paraId="31456F69" w14:textId="77777777" w:rsidR="00A36492" w:rsidRPr="00BF041C" w:rsidRDefault="00A36492" w:rsidP="006A640E">
            <w:pPr>
              <w:spacing w:after="0" w:line="360" w:lineRule="auto"/>
              <w:jc w:val="center"/>
              <w:rPr>
                <w:rFonts w:ascii="Arial Bold" w:eastAsia="Times New Roman" w:hAnsi="Arial Bold" w:cs="Calibri"/>
                <w:b/>
                <w:bCs/>
                <w:color w:val="000000" w:themeColor="text1"/>
                <w:kern w:val="0"/>
                <w:lang w:eastAsia="en-NG"/>
                <w14:ligatures w14:val="none"/>
              </w:rPr>
            </w:pPr>
            <w:r w:rsidRPr="00BF041C">
              <w:rPr>
                <w:rFonts w:ascii="Arial Bold" w:eastAsia="Times New Roman" w:hAnsi="Arial Bold" w:cs="Calibri"/>
                <w:b/>
                <w:bCs/>
                <w:color w:val="000000" w:themeColor="text1"/>
                <w:kern w:val="0"/>
                <w:lang w:eastAsia="en-NG"/>
                <w14:ligatures w14:val="none"/>
              </w:rPr>
              <w:t>Variables in the Equation</w:t>
            </w:r>
          </w:p>
        </w:tc>
        <w:tc>
          <w:tcPr>
            <w:tcW w:w="934" w:type="pct"/>
            <w:gridSpan w:val="2"/>
            <w:tcBorders>
              <w:bottom w:val="nil"/>
            </w:tcBorders>
          </w:tcPr>
          <w:p w14:paraId="4FCFE696" w14:textId="77777777" w:rsidR="00A36492" w:rsidRPr="00942D20" w:rsidRDefault="00A36492" w:rsidP="006A640E">
            <w:pPr>
              <w:spacing w:after="0" w:line="360" w:lineRule="auto"/>
              <w:jc w:val="center"/>
              <w:rPr>
                <w:rFonts w:ascii="Arial Bold" w:eastAsia="Times New Roman" w:hAnsi="Arial Bold" w:cs="Calibri"/>
                <w:b/>
                <w:bCs/>
                <w:color w:val="000000" w:themeColor="text1"/>
                <w:kern w:val="0"/>
                <w:lang w:eastAsia="en-NG"/>
                <w14:ligatures w14:val="none"/>
              </w:rPr>
            </w:pPr>
            <w:r w:rsidRPr="00942D20">
              <w:rPr>
                <w:rFonts w:ascii="Arial Bold" w:eastAsia="Times New Roman" w:hAnsi="Arial Bold" w:cs="Calibri"/>
                <w:b/>
                <w:bCs/>
                <w:color w:val="000000" w:themeColor="text1"/>
                <w:kern w:val="0"/>
                <w:lang w:eastAsia="en-NG"/>
                <w14:ligatures w14:val="none"/>
              </w:rPr>
              <w:t>95% CI</w:t>
            </w:r>
          </w:p>
        </w:tc>
      </w:tr>
      <w:tr w:rsidR="00A36492" w:rsidRPr="00F10718" w14:paraId="31F5D9C9" w14:textId="77777777" w:rsidTr="006A640E">
        <w:trPr>
          <w:trHeight w:val="300"/>
        </w:trPr>
        <w:tc>
          <w:tcPr>
            <w:tcW w:w="486" w:type="pct"/>
            <w:tcBorders>
              <w:top w:val="nil"/>
              <w:bottom w:val="single" w:sz="4" w:space="0" w:color="auto"/>
            </w:tcBorders>
            <w:shd w:val="clear" w:color="auto" w:fill="auto"/>
            <w:vAlign w:val="bottom"/>
            <w:hideMark/>
          </w:tcPr>
          <w:p w14:paraId="764B4A3B"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tcBorders>
              <w:top w:val="nil"/>
              <w:bottom w:val="single" w:sz="4" w:space="0" w:color="auto"/>
            </w:tcBorders>
            <w:shd w:val="clear" w:color="auto" w:fill="auto"/>
            <w:vAlign w:val="bottom"/>
            <w:hideMark/>
          </w:tcPr>
          <w:p w14:paraId="416BA21C" w14:textId="77777777" w:rsidR="00A36492" w:rsidRPr="00BF041C" w:rsidRDefault="00A36492" w:rsidP="006A640E">
            <w:pPr>
              <w:spacing w:after="0" w:line="360" w:lineRule="auto"/>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 </w:t>
            </w:r>
          </w:p>
        </w:tc>
        <w:tc>
          <w:tcPr>
            <w:tcW w:w="441" w:type="pct"/>
            <w:tcBorders>
              <w:top w:val="nil"/>
              <w:bottom w:val="single" w:sz="4" w:space="0" w:color="auto"/>
            </w:tcBorders>
            <w:shd w:val="clear" w:color="auto" w:fill="auto"/>
            <w:vAlign w:val="bottom"/>
            <w:hideMark/>
          </w:tcPr>
          <w:p w14:paraId="5936DC92"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B</w:t>
            </w:r>
          </w:p>
        </w:tc>
        <w:tc>
          <w:tcPr>
            <w:tcW w:w="405" w:type="pct"/>
            <w:tcBorders>
              <w:top w:val="nil"/>
              <w:bottom w:val="single" w:sz="4" w:space="0" w:color="auto"/>
            </w:tcBorders>
            <w:shd w:val="clear" w:color="auto" w:fill="auto"/>
            <w:vAlign w:val="bottom"/>
            <w:hideMark/>
          </w:tcPr>
          <w:p w14:paraId="28B8A30F"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S.E.</w:t>
            </w:r>
          </w:p>
        </w:tc>
        <w:tc>
          <w:tcPr>
            <w:tcW w:w="587" w:type="pct"/>
            <w:tcBorders>
              <w:top w:val="nil"/>
              <w:bottom w:val="single" w:sz="4" w:space="0" w:color="auto"/>
            </w:tcBorders>
            <w:shd w:val="clear" w:color="auto" w:fill="auto"/>
            <w:vAlign w:val="bottom"/>
            <w:hideMark/>
          </w:tcPr>
          <w:p w14:paraId="4E543E01"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Wald</w:t>
            </w:r>
          </w:p>
        </w:tc>
        <w:tc>
          <w:tcPr>
            <w:tcW w:w="223" w:type="pct"/>
            <w:tcBorders>
              <w:top w:val="nil"/>
              <w:bottom w:val="single" w:sz="4" w:space="0" w:color="auto"/>
            </w:tcBorders>
            <w:shd w:val="clear" w:color="auto" w:fill="auto"/>
            <w:vAlign w:val="bottom"/>
            <w:hideMark/>
          </w:tcPr>
          <w:p w14:paraId="10DB981D"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proofErr w:type="spellStart"/>
            <w:r w:rsidRPr="00BF041C">
              <w:rPr>
                <w:rFonts w:ascii="Arial" w:eastAsia="Times New Roman" w:hAnsi="Arial" w:cs="Arial"/>
                <w:b/>
                <w:bCs/>
                <w:color w:val="000000" w:themeColor="text1"/>
                <w:kern w:val="0"/>
                <w:sz w:val="18"/>
                <w:szCs w:val="18"/>
                <w:lang w:eastAsia="en-NG"/>
                <w14:ligatures w14:val="none"/>
              </w:rPr>
              <w:t>df</w:t>
            </w:r>
            <w:proofErr w:type="spellEnd"/>
          </w:p>
        </w:tc>
        <w:tc>
          <w:tcPr>
            <w:tcW w:w="405" w:type="pct"/>
            <w:tcBorders>
              <w:top w:val="nil"/>
              <w:bottom w:val="single" w:sz="4" w:space="0" w:color="auto"/>
            </w:tcBorders>
            <w:shd w:val="clear" w:color="auto" w:fill="auto"/>
            <w:vAlign w:val="bottom"/>
            <w:hideMark/>
          </w:tcPr>
          <w:p w14:paraId="53674BA7"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Sig.</w:t>
            </w:r>
          </w:p>
        </w:tc>
        <w:tc>
          <w:tcPr>
            <w:tcW w:w="470" w:type="pct"/>
            <w:tcBorders>
              <w:top w:val="nil"/>
              <w:bottom w:val="single" w:sz="4" w:space="0" w:color="auto"/>
            </w:tcBorders>
            <w:shd w:val="clear" w:color="auto" w:fill="auto"/>
            <w:vAlign w:val="bottom"/>
            <w:hideMark/>
          </w:tcPr>
          <w:p w14:paraId="3CCE2B92" w14:textId="77777777" w:rsidR="00A36492" w:rsidRPr="00BF041C" w:rsidRDefault="00A36492" w:rsidP="006A640E">
            <w:pPr>
              <w:spacing w:after="0" w:line="360" w:lineRule="auto"/>
              <w:jc w:val="center"/>
              <w:rPr>
                <w:rFonts w:ascii="Arial" w:eastAsia="Times New Roman" w:hAnsi="Arial" w:cs="Arial"/>
                <w:b/>
                <w:bCs/>
                <w:color w:val="000000" w:themeColor="text1"/>
                <w:kern w:val="0"/>
                <w:sz w:val="18"/>
                <w:szCs w:val="18"/>
                <w:lang w:eastAsia="en-NG"/>
                <w14:ligatures w14:val="none"/>
              </w:rPr>
            </w:pPr>
            <w:r w:rsidRPr="00BF041C">
              <w:rPr>
                <w:rFonts w:ascii="Arial" w:eastAsia="Times New Roman" w:hAnsi="Arial" w:cs="Arial"/>
                <w:b/>
                <w:bCs/>
                <w:color w:val="000000" w:themeColor="text1"/>
                <w:kern w:val="0"/>
                <w:sz w:val="18"/>
                <w:szCs w:val="18"/>
                <w:lang w:eastAsia="en-NG"/>
                <w14:ligatures w14:val="none"/>
              </w:rPr>
              <w:t>Exp(B)</w:t>
            </w:r>
          </w:p>
        </w:tc>
        <w:tc>
          <w:tcPr>
            <w:tcW w:w="467" w:type="pct"/>
            <w:tcBorders>
              <w:top w:val="nil"/>
              <w:bottom w:val="single" w:sz="4" w:space="0" w:color="auto"/>
            </w:tcBorders>
            <w:vAlign w:val="bottom"/>
          </w:tcPr>
          <w:p w14:paraId="4C6A5B14" w14:textId="77777777" w:rsidR="00A36492" w:rsidRPr="00942D20" w:rsidRDefault="00A36492" w:rsidP="006A640E">
            <w:pPr>
              <w:spacing w:after="0" w:line="360" w:lineRule="auto"/>
              <w:jc w:val="center"/>
              <w:rPr>
                <w:rFonts w:ascii="Times New Roman" w:eastAsia="Times New Roman" w:hAnsi="Times New Roman" w:cs="Times New Roman"/>
                <w:b/>
                <w:bCs/>
                <w:color w:val="000000" w:themeColor="text1"/>
                <w:kern w:val="0"/>
                <w:sz w:val="18"/>
                <w:szCs w:val="18"/>
                <w:lang w:eastAsia="en-NG"/>
                <w14:ligatures w14:val="none"/>
              </w:rPr>
            </w:pPr>
            <w:r w:rsidRPr="00942D20">
              <w:rPr>
                <w:rFonts w:ascii="Times New Roman" w:hAnsi="Times New Roman" w:cs="Times New Roman"/>
                <w:b/>
                <w:bCs/>
                <w:color w:val="000000" w:themeColor="text1"/>
                <w:sz w:val="18"/>
                <w:szCs w:val="18"/>
              </w:rPr>
              <w:t>Lower</w:t>
            </w:r>
          </w:p>
        </w:tc>
        <w:tc>
          <w:tcPr>
            <w:tcW w:w="467" w:type="pct"/>
            <w:tcBorders>
              <w:top w:val="nil"/>
              <w:bottom w:val="single" w:sz="4" w:space="0" w:color="auto"/>
            </w:tcBorders>
            <w:vAlign w:val="bottom"/>
          </w:tcPr>
          <w:p w14:paraId="2734DC58" w14:textId="77777777" w:rsidR="00A36492" w:rsidRPr="00942D20" w:rsidRDefault="00A36492" w:rsidP="006A640E">
            <w:pPr>
              <w:spacing w:after="0" w:line="360" w:lineRule="auto"/>
              <w:jc w:val="center"/>
              <w:rPr>
                <w:rFonts w:ascii="Times New Roman" w:eastAsia="Times New Roman" w:hAnsi="Times New Roman" w:cs="Times New Roman"/>
                <w:b/>
                <w:bCs/>
                <w:color w:val="000000" w:themeColor="text1"/>
                <w:kern w:val="0"/>
                <w:sz w:val="18"/>
                <w:szCs w:val="18"/>
                <w:lang w:eastAsia="en-NG"/>
                <w14:ligatures w14:val="none"/>
              </w:rPr>
            </w:pPr>
            <w:r w:rsidRPr="00942D20">
              <w:rPr>
                <w:rFonts w:ascii="Times New Roman" w:hAnsi="Times New Roman" w:cs="Times New Roman"/>
                <w:b/>
                <w:bCs/>
                <w:color w:val="000000" w:themeColor="text1"/>
                <w:sz w:val="18"/>
                <w:szCs w:val="18"/>
              </w:rPr>
              <w:t>Upper</w:t>
            </w:r>
          </w:p>
        </w:tc>
      </w:tr>
      <w:tr w:rsidR="00A36492" w:rsidRPr="00F10718" w14:paraId="6358949C" w14:textId="77777777" w:rsidTr="006A640E">
        <w:trPr>
          <w:trHeight w:val="300"/>
        </w:trPr>
        <w:tc>
          <w:tcPr>
            <w:tcW w:w="486" w:type="pct"/>
            <w:tcBorders>
              <w:top w:val="single" w:sz="4" w:space="0" w:color="auto"/>
            </w:tcBorders>
            <w:shd w:val="clear" w:color="auto" w:fill="auto"/>
            <w:hideMark/>
          </w:tcPr>
          <w:p w14:paraId="3FB0C83D"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Step 1</w:t>
            </w:r>
          </w:p>
        </w:tc>
        <w:tc>
          <w:tcPr>
            <w:tcW w:w="1049" w:type="pct"/>
            <w:tcBorders>
              <w:top w:val="single" w:sz="4" w:space="0" w:color="auto"/>
            </w:tcBorders>
            <w:shd w:val="clear" w:color="auto" w:fill="auto"/>
            <w:hideMark/>
          </w:tcPr>
          <w:p w14:paraId="7BFEAC4A"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Academic</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Pressure</w:t>
            </w:r>
          </w:p>
        </w:tc>
        <w:tc>
          <w:tcPr>
            <w:tcW w:w="441" w:type="pct"/>
            <w:tcBorders>
              <w:top w:val="single" w:sz="4" w:space="0" w:color="auto"/>
            </w:tcBorders>
            <w:shd w:val="clear" w:color="auto" w:fill="auto"/>
            <w:noWrap/>
            <w:hideMark/>
          </w:tcPr>
          <w:p w14:paraId="742494CE"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0.835</w:t>
            </w:r>
          </w:p>
        </w:tc>
        <w:tc>
          <w:tcPr>
            <w:tcW w:w="405" w:type="pct"/>
            <w:tcBorders>
              <w:top w:val="single" w:sz="4" w:space="0" w:color="auto"/>
            </w:tcBorders>
            <w:shd w:val="clear" w:color="auto" w:fill="auto"/>
            <w:noWrap/>
            <w:hideMark/>
          </w:tcPr>
          <w:p w14:paraId="3A6DA1D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0.012</w:t>
            </w:r>
          </w:p>
        </w:tc>
        <w:tc>
          <w:tcPr>
            <w:tcW w:w="587" w:type="pct"/>
            <w:tcBorders>
              <w:top w:val="single" w:sz="4" w:space="0" w:color="auto"/>
            </w:tcBorders>
            <w:shd w:val="clear" w:color="auto" w:fill="auto"/>
            <w:noWrap/>
            <w:hideMark/>
          </w:tcPr>
          <w:p w14:paraId="1AE68A7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4769.017</w:t>
            </w:r>
          </w:p>
        </w:tc>
        <w:tc>
          <w:tcPr>
            <w:tcW w:w="223" w:type="pct"/>
            <w:tcBorders>
              <w:top w:val="single" w:sz="4" w:space="0" w:color="auto"/>
            </w:tcBorders>
            <w:shd w:val="clear" w:color="auto" w:fill="auto"/>
            <w:noWrap/>
            <w:hideMark/>
          </w:tcPr>
          <w:p w14:paraId="195A335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tcBorders>
              <w:top w:val="single" w:sz="4" w:space="0" w:color="auto"/>
            </w:tcBorders>
            <w:shd w:val="clear" w:color="auto" w:fill="auto"/>
            <w:noWrap/>
            <w:hideMark/>
          </w:tcPr>
          <w:p w14:paraId="3470A171"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tcBorders>
              <w:top w:val="single" w:sz="4" w:space="0" w:color="auto"/>
            </w:tcBorders>
            <w:shd w:val="clear" w:color="auto" w:fill="auto"/>
            <w:noWrap/>
            <w:hideMark/>
          </w:tcPr>
          <w:p w14:paraId="5FEE4A2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2.304</w:t>
            </w:r>
          </w:p>
        </w:tc>
        <w:tc>
          <w:tcPr>
            <w:tcW w:w="467" w:type="pct"/>
            <w:tcBorders>
              <w:top w:val="single" w:sz="4" w:space="0" w:color="auto"/>
            </w:tcBorders>
          </w:tcPr>
          <w:p w14:paraId="539FE621"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2.250</w:t>
            </w:r>
          </w:p>
        </w:tc>
        <w:tc>
          <w:tcPr>
            <w:tcW w:w="467" w:type="pct"/>
            <w:tcBorders>
              <w:top w:val="single" w:sz="4" w:space="0" w:color="auto"/>
            </w:tcBorders>
          </w:tcPr>
          <w:p w14:paraId="384C54A8"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2.359</w:t>
            </w:r>
          </w:p>
        </w:tc>
      </w:tr>
      <w:tr w:rsidR="00A36492" w:rsidRPr="00F10718" w14:paraId="76794DD3" w14:textId="77777777" w:rsidTr="006A640E">
        <w:trPr>
          <w:trHeight w:val="300"/>
        </w:trPr>
        <w:tc>
          <w:tcPr>
            <w:tcW w:w="486" w:type="pct"/>
            <w:shd w:val="clear" w:color="auto" w:fill="auto"/>
            <w:hideMark/>
          </w:tcPr>
          <w:p w14:paraId="584A0DDF"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2C02FEC0"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Financial</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Stress</w:t>
            </w:r>
          </w:p>
        </w:tc>
        <w:tc>
          <w:tcPr>
            <w:tcW w:w="441" w:type="pct"/>
            <w:shd w:val="clear" w:color="auto" w:fill="auto"/>
            <w:noWrap/>
            <w:hideMark/>
          </w:tcPr>
          <w:p w14:paraId="09F3E452"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0.574</w:t>
            </w:r>
          </w:p>
        </w:tc>
        <w:tc>
          <w:tcPr>
            <w:tcW w:w="405" w:type="pct"/>
            <w:shd w:val="clear" w:color="auto" w:fill="auto"/>
            <w:noWrap/>
            <w:hideMark/>
          </w:tcPr>
          <w:p w14:paraId="6C8AC5B9"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0.011</w:t>
            </w:r>
          </w:p>
        </w:tc>
        <w:tc>
          <w:tcPr>
            <w:tcW w:w="587" w:type="pct"/>
            <w:shd w:val="clear" w:color="auto" w:fill="auto"/>
            <w:noWrap/>
            <w:hideMark/>
          </w:tcPr>
          <w:p w14:paraId="22D0434B"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2805.313</w:t>
            </w:r>
          </w:p>
        </w:tc>
        <w:tc>
          <w:tcPr>
            <w:tcW w:w="223" w:type="pct"/>
            <w:shd w:val="clear" w:color="auto" w:fill="auto"/>
            <w:noWrap/>
            <w:hideMark/>
          </w:tcPr>
          <w:p w14:paraId="2AB25C1B"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178432B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shd w:val="clear" w:color="auto" w:fill="auto"/>
            <w:noWrap/>
            <w:hideMark/>
          </w:tcPr>
          <w:p w14:paraId="4599F463"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1.775</w:t>
            </w:r>
          </w:p>
        </w:tc>
        <w:tc>
          <w:tcPr>
            <w:tcW w:w="467" w:type="pct"/>
          </w:tcPr>
          <w:p w14:paraId="3E41615E"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1.738</w:t>
            </w:r>
          </w:p>
        </w:tc>
        <w:tc>
          <w:tcPr>
            <w:tcW w:w="467" w:type="pct"/>
          </w:tcPr>
          <w:p w14:paraId="6D412019"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1.814</w:t>
            </w:r>
          </w:p>
        </w:tc>
      </w:tr>
      <w:tr w:rsidR="00A36492" w:rsidRPr="00F10718" w14:paraId="7F13078C" w14:textId="77777777" w:rsidTr="006A640E">
        <w:trPr>
          <w:trHeight w:val="300"/>
        </w:trPr>
        <w:tc>
          <w:tcPr>
            <w:tcW w:w="486" w:type="pct"/>
            <w:shd w:val="clear" w:color="auto" w:fill="auto"/>
            <w:hideMark/>
          </w:tcPr>
          <w:p w14:paraId="26AB837A"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1CDFA17C"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Work</w:t>
            </w:r>
            <w:r w:rsidRPr="00F10718">
              <w:rPr>
                <w:rFonts w:ascii="Arial" w:eastAsia="Times New Roman" w:hAnsi="Arial" w:cs="Arial"/>
                <w:color w:val="000000" w:themeColor="text1"/>
                <w:kern w:val="0"/>
                <w:sz w:val="18"/>
                <w:szCs w:val="18"/>
                <w:lang w:eastAsia="en-NG"/>
                <w14:ligatures w14:val="none"/>
              </w:rPr>
              <w:t xml:space="preserve"> </w:t>
            </w:r>
            <w:r w:rsidRPr="00BF041C">
              <w:rPr>
                <w:rFonts w:ascii="Arial" w:eastAsia="Times New Roman" w:hAnsi="Arial" w:cs="Arial"/>
                <w:color w:val="000000" w:themeColor="text1"/>
                <w:kern w:val="0"/>
                <w:sz w:val="18"/>
                <w:szCs w:val="18"/>
                <w:lang w:eastAsia="en-NG"/>
                <w14:ligatures w14:val="none"/>
              </w:rPr>
              <w:t>Pressure</w:t>
            </w:r>
          </w:p>
        </w:tc>
        <w:tc>
          <w:tcPr>
            <w:tcW w:w="441" w:type="pct"/>
            <w:shd w:val="clear" w:color="auto" w:fill="auto"/>
            <w:noWrap/>
            <w:hideMark/>
          </w:tcPr>
          <w:p w14:paraId="4A42D46F"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0.357</w:t>
            </w:r>
          </w:p>
        </w:tc>
        <w:tc>
          <w:tcPr>
            <w:tcW w:w="405" w:type="pct"/>
            <w:shd w:val="clear" w:color="auto" w:fill="auto"/>
            <w:noWrap/>
            <w:hideMark/>
          </w:tcPr>
          <w:p w14:paraId="00DC7D9F"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0.280</w:t>
            </w:r>
          </w:p>
        </w:tc>
        <w:tc>
          <w:tcPr>
            <w:tcW w:w="587" w:type="pct"/>
            <w:shd w:val="clear" w:color="auto" w:fill="auto"/>
            <w:noWrap/>
            <w:hideMark/>
          </w:tcPr>
          <w:p w14:paraId="25CBE154"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1.623</w:t>
            </w:r>
          </w:p>
        </w:tc>
        <w:tc>
          <w:tcPr>
            <w:tcW w:w="223" w:type="pct"/>
            <w:shd w:val="clear" w:color="auto" w:fill="auto"/>
            <w:noWrap/>
            <w:hideMark/>
          </w:tcPr>
          <w:p w14:paraId="19901F92"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4917F10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0.203</w:t>
            </w:r>
          </w:p>
        </w:tc>
        <w:tc>
          <w:tcPr>
            <w:tcW w:w="470" w:type="pct"/>
            <w:shd w:val="clear" w:color="auto" w:fill="auto"/>
            <w:noWrap/>
            <w:hideMark/>
          </w:tcPr>
          <w:p w14:paraId="36867897"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1.428</w:t>
            </w:r>
          </w:p>
        </w:tc>
        <w:tc>
          <w:tcPr>
            <w:tcW w:w="467" w:type="pct"/>
          </w:tcPr>
          <w:p w14:paraId="5FCD0F52"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0.825</w:t>
            </w:r>
          </w:p>
        </w:tc>
        <w:tc>
          <w:tcPr>
            <w:tcW w:w="467" w:type="pct"/>
          </w:tcPr>
          <w:p w14:paraId="58D1AE28" w14:textId="77777777" w:rsidR="00A36492" w:rsidRPr="00942D20"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42D20">
              <w:rPr>
                <w:rFonts w:ascii="Arial" w:hAnsi="Arial" w:cs="Arial"/>
                <w:color w:val="000000" w:themeColor="text1"/>
                <w:sz w:val="18"/>
                <w:szCs w:val="18"/>
              </w:rPr>
              <w:t>2.472</w:t>
            </w:r>
          </w:p>
        </w:tc>
      </w:tr>
      <w:tr w:rsidR="00A36492" w:rsidRPr="00F10718" w14:paraId="46A0ABF7" w14:textId="77777777" w:rsidTr="006A640E">
        <w:trPr>
          <w:trHeight w:val="300"/>
        </w:trPr>
        <w:tc>
          <w:tcPr>
            <w:tcW w:w="486" w:type="pct"/>
            <w:shd w:val="clear" w:color="auto" w:fill="auto"/>
            <w:hideMark/>
          </w:tcPr>
          <w:p w14:paraId="18158FF4"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 </w:t>
            </w:r>
          </w:p>
        </w:tc>
        <w:tc>
          <w:tcPr>
            <w:tcW w:w="1049" w:type="pct"/>
            <w:shd w:val="clear" w:color="auto" w:fill="auto"/>
            <w:hideMark/>
          </w:tcPr>
          <w:p w14:paraId="0E40547E" w14:textId="77777777" w:rsidR="00A36492" w:rsidRPr="00BF041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Constant</w:t>
            </w:r>
          </w:p>
        </w:tc>
        <w:tc>
          <w:tcPr>
            <w:tcW w:w="441" w:type="pct"/>
            <w:shd w:val="clear" w:color="auto" w:fill="auto"/>
            <w:noWrap/>
            <w:hideMark/>
          </w:tcPr>
          <w:p w14:paraId="54F618E0"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-3.940</w:t>
            </w:r>
          </w:p>
        </w:tc>
        <w:tc>
          <w:tcPr>
            <w:tcW w:w="405" w:type="pct"/>
            <w:shd w:val="clear" w:color="auto" w:fill="auto"/>
            <w:noWrap/>
            <w:hideMark/>
          </w:tcPr>
          <w:p w14:paraId="00251E93"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0.055</w:t>
            </w:r>
          </w:p>
        </w:tc>
        <w:tc>
          <w:tcPr>
            <w:tcW w:w="587" w:type="pct"/>
            <w:shd w:val="clear" w:color="auto" w:fill="auto"/>
            <w:noWrap/>
            <w:hideMark/>
          </w:tcPr>
          <w:p w14:paraId="2B128EAC"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5181.430</w:t>
            </w:r>
          </w:p>
        </w:tc>
        <w:tc>
          <w:tcPr>
            <w:tcW w:w="223" w:type="pct"/>
            <w:shd w:val="clear" w:color="auto" w:fill="auto"/>
            <w:noWrap/>
            <w:hideMark/>
          </w:tcPr>
          <w:p w14:paraId="01F828D8"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1</w:t>
            </w:r>
          </w:p>
        </w:tc>
        <w:tc>
          <w:tcPr>
            <w:tcW w:w="405" w:type="pct"/>
            <w:shd w:val="clear" w:color="auto" w:fill="auto"/>
            <w:noWrap/>
            <w:hideMark/>
          </w:tcPr>
          <w:p w14:paraId="2843857E"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0.000</w:t>
            </w:r>
          </w:p>
        </w:tc>
        <w:tc>
          <w:tcPr>
            <w:tcW w:w="470" w:type="pct"/>
            <w:shd w:val="clear" w:color="auto" w:fill="auto"/>
            <w:noWrap/>
            <w:hideMark/>
          </w:tcPr>
          <w:p w14:paraId="4164EDE5"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BF041C">
              <w:rPr>
                <w:rFonts w:ascii="Arial" w:eastAsia="Times New Roman" w:hAnsi="Arial" w:cs="Arial"/>
                <w:color w:val="000000" w:themeColor="text1"/>
                <w:kern w:val="0"/>
                <w:sz w:val="18"/>
                <w:szCs w:val="18"/>
                <w:lang w:eastAsia="en-NG"/>
                <w14:ligatures w14:val="none"/>
              </w:rPr>
              <w:t>0.019</w:t>
            </w:r>
          </w:p>
        </w:tc>
        <w:tc>
          <w:tcPr>
            <w:tcW w:w="467" w:type="pct"/>
            <w:vAlign w:val="bottom"/>
          </w:tcPr>
          <w:p w14:paraId="580740BC"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467" w:type="pct"/>
            <w:vAlign w:val="bottom"/>
          </w:tcPr>
          <w:p w14:paraId="294B3E45" w14:textId="77777777" w:rsidR="00A36492" w:rsidRPr="00BF041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r>
    </w:tbl>
    <w:p w14:paraId="1CF206D6" w14:textId="77777777" w:rsidR="00A36492" w:rsidRDefault="00A36492" w:rsidP="00A36492"/>
    <w:p w14:paraId="218AC995" w14:textId="77777777" w:rsidR="0099708A" w:rsidRPr="00FD0348" w:rsidRDefault="0099708A" w:rsidP="0099708A">
      <w:pPr>
        <w:rPr>
          <w:rFonts w:ascii="Times New Roman" w:hAnsi="Times New Roman" w:cs="Times New Roman"/>
          <w:b/>
          <w:bCs/>
          <w:sz w:val="24"/>
          <w:szCs w:val="24"/>
        </w:rPr>
      </w:pPr>
      <w:r w:rsidRPr="00FD0348">
        <w:rPr>
          <w:rFonts w:ascii="Times New Roman" w:hAnsi="Times New Roman" w:cs="Times New Roman"/>
          <w:b/>
          <w:bCs/>
          <w:sz w:val="24"/>
          <w:szCs w:val="24"/>
        </w:rPr>
        <w:t>3.2 T-test by Family History (H₂)</w:t>
      </w:r>
    </w:p>
    <w:p w14:paraId="64641691" w14:textId="77777777" w:rsidR="0099708A" w:rsidRPr="00FD0348" w:rsidRDefault="0099708A" w:rsidP="0099708A">
      <w:pPr>
        <w:spacing w:line="360" w:lineRule="auto"/>
        <w:jc w:val="both"/>
        <w:rPr>
          <w:rFonts w:ascii="Times New Roman" w:hAnsi="Times New Roman" w:cs="Times New Roman"/>
          <w:sz w:val="24"/>
          <w:szCs w:val="24"/>
        </w:rPr>
      </w:pPr>
      <w:r w:rsidRPr="00FD0348">
        <w:rPr>
          <w:rFonts w:ascii="Times New Roman" w:hAnsi="Times New Roman" w:cs="Times New Roman"/>
          <w:sz w:val="24"/>
          <w:szCs w:val="24"/>
        </w:rPr>
        <w:t>The t-tests showed that there were significant differences in academic pressure and financial stress for depressed versus non-depressed students (all p&lt;0.001), with depressed students in both groups reporting lower means. Effect sizes did not vary significantly as a function of family history (academic ΔM ≈-1.3; financial ΔM≈ -1.1). Work pressure was not significant (p&gt;0.2). Results confirm academic and financial stress as strong depression correlates, with little moderating role for family history.</w:t>
      </w:r>
    </w:p>
    <w:tbl>
      <w:tblPr>
        <w:tblW w:w="5107" w:type="pct"/>
        <w:tblBorders>
          <w:top w:val="single" w:sz="4" w:space="0" w:color="auto"/>
          <w:bottom w:val="single" w:sz="4" w:space="0" w:color="auto"/>
        </w:tblBorders>
        <w:tblLook w:val="04A0" w:firstRow="1" w:lastRow="0" w:firstColumn="1" w:lastColumn="0" w:noHBand="0" w:noVBand="1"/>
      </w:tblPr>
      <w:tblGrid>
        <w:gridCol w:w="1892"/>
        <w:gridCol w:w="658"/>
        <w:gridCol w:w="750"/>
        <w:gridCol w:w="813"/>
        <w:gridCol w:w="1038"/>
        <w:gridCol w:w="1080"/>
        <w:gridCol w:w="856"/>
        <w:gridCol w:w="1009"/>
        <w:gridCol w:w="1123"/>
      </w:tblGrid>
      <w:tr w:rsidR="00A36492" w:rsidRPr="00E67244" w14:paraId="5AD3CE5A" w14:textId="77777777" w:rsidTr="006A640E">
        <w:trPr>
          <w:trHeight w:val="585"/>
        </w:trPr>
        <w:tc>
          <w:tcPr>
            <w:tcW w:w="3844" w:type="pct"/>
            <w:gridSpan w:val="7"/>
            <w:tcBorders>
              <w:bottom w:val="nil"/>
            </w:tcBorders>
            <w:shd w:val="clear" w:color="auto" w:fill="auto"/>
            <w:vAlign w:val="center"/>
            <w:hideMark/>
          </w:tcPr>
          <w:p w14:paraId="3C66263B" w14:textId="77777777" w:rsidR="00A36492" w:rsidRPr="00E67244" w:rsidRDefault="00A36492" w:rsidP="006A640E">
            <w:pPr>
              <w:spacing w:after="0" w:line="360" w:lineRule="auto"/>
              <w:jc w:val="center"/>
              <w:rPr>
                <w:rFonts w:ascii="Times New Roman" w:eastAsia="Times New Roman" w:hAnsi="Times New Roman" w:cs="Times New Roman"/>
                <w:kern w:val="0"/>
                <w:sz w:val="20"/>
                <w:szCs w:val="20"/>
                <w:lang w:eastAsia="en-NG"/>
                <w14:ligatures w14:val="none"/>
              </w:rPr>
            </w:pPr>
            <w:r w:rsidRPr="00E67244">
              <w:rPr>
                <w:rFonts w:ascii="Arial" w:eastAsia="Times New Roman" w:hAnsi="Arial" w:cs="Arial"/>
                <w:kern w:val="0"/>
                <w:sz w:val="18"/>
                <w:szCs w:val="18"/>
                <w:lang w:eastAsia="en-NG"/>
                <w14:ligatures w14:val="none"/>
              </w:rPr>
              <w:t>Mental illness history = No</w:t>
            </w:r>
            <w:r>
              <w:rPr>
                <w:rFonts w:ascii="Arial" w:eastAsia="Times New Roman" w:hAnsi="Arial" w:cs="Arial"/>
                <w:kern w:val="0"/>
                <w:sz w:val="18"/>
                <w:szCs w:val="18"/>
                <w:lang w:eastAsia="en-NG"/>
                <w14:ligatures w14:val="none"/>
              </w:rPr>
              <w:t>. equal variance assumed</w:t>
            </w:r>
          </w:p>
        </w:tc>
        <w:tc>
          <w:tcPr>
            <w:tcW w:w="1156" w:type="pct"/>
            <w:gridSpan w:val="2"/>
            <w:tcBorders>
              <w:bottom w:val="nil"/>
            </w:tcBorders>
            <w:shd w:val="clear" w:color="auto" w:fill="auto"/>
            <w:vAlign w:val="bottom"/>
            <w:hideMark/>
          </w:tcPr>
          <w:p w14:paraId="35D58172" w14:textId="77777777" w:rsidR="00A36492" w:rsidRPr="00E67244" w:rsidRDefault="00A36492" w:rsidP="006A640E">
            <w:pPr>
              <w:spacing w:after="0" w:line="360" w:lineRule="auto"/>
              <w:jc w:val="center"/>
              <w:rPr>
                <w:rFonts w:ascii="Calibri" w:eastAsia="Times New Roman" w:hAnsi="Calibri" w:cs="Calibri"/>
                <w:kern w:val="0"/>
                <w:lang w:eastAsia="en-NG"/>
                <w14:ligatures w14:val="none"/>
              </w:rPr>
            </w:pPr>
            <w:r>
              <w:rPr>
                <w:rFonts w:ascii="Calibri" w:eastAsia="Times New Roman" w:hAnsi="Calibri" w:cs="Calibri"/>
                <w:kern w:val="0"/>
                <w:lang w:eastAsia="en-NG"/>
                <w14:ligatures w14:val="none"/>
              </w:rPr>
              <w:t>95% CI</w:t>
            </w:r>
          </w:p>
        </w:tc>
      </w:tr>
      <w:tr w:rsidR="00A36492" w:rsidRPr="00E67244" w14:paraId="3E92FB9F" w14:textId="77777777" w:rsidTr="006A640E">
        <w:trPr>
          <w:trHeight w:val="675"/>
        </w:trPr>
        <w:tc>
          <w:tcPr>
            <w:tcW w:w="1026" w:type="pct"/>
            <w:tcBorders>
              <w:top w:val="nil"/>
              <w:bottom w:val="single" w:sz="4" w:space="0" w:color="auto"/>
            </w:tcBorders>
            <w:shd w:val="clear" w:color="auto" w:fill="auto"/>
            <w:vAlign w:val="bottom"/>
            <w:hideMark/>
          </w:tcPr>
          <w:p w14:paraId="0AA027AB"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Depression</w:t>
            </w:r>
          </w:p>
        </w:tc>
        <w:tc>
          <w:tcPr>
            <w:tcW w:w="357" w:type="pct"/>
            <w:tcBorders>
              <w:top w:val="nil"/>
              <w:bottom w:val="single" w:sz="4" w:space="0" w:color="auto"/>
            </w:tcBorders>
            <w:shd w:val="clear" w:color="auto" w:fill="auto"/>
            <w:vAlign w:val="bottom"/>
            <w:hideMark/>
          </w:tcPr>
          <w:p w14:paraId="3D1E7DD9"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407" w:type="pct"/>
            <w:tcBorders>
              <w:top w:val="nil"/>
              <w:bottom w:val="single" w:sz="4" w:space="0" w:color="auto"/>
            </w:tcBorders>
            <w:shd w:val="clear" w:color="auto" w:fill="auto"/>
            <w:vAlign w:val="bottom"/>
            <w:hideMark/>
          </w:tcPr>
          <w:p w14:paraId="55CEC68C"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w:t>
            </w:r>
          </w:p>
        </w:tc>
        <w:tc>
          <w:tcPr>
            <w:tcW w:w="441" w:type="pct"/>
            <w:tcBorders>
              <w:top w:val="nil"/>
              <w:bottom w:val="single" w:sz="4" w:space="0" w:color="auto"/>
            </w:tcBorders>
            <w:shd w:val="clear" w:color="auto" w:fill="auto"/>
            <w:vAlign w:val="bottom"/>
            <w:hideMark/>
          </w:tcPr>
          <w:p w14:paraId="78A3C518"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Mean</w:t>
            </w:r>
          </w:p>
        </w:tc>
        <w:tc>
          <w:tcPr>
            <w:tcW w:w="563" w:type="pct"/>
            <w:tcBorders>
              <w:top w:val="nil"/>
              <w:bottom w:val="single" w:sz="4" w:space="0" w:color="auto"/>
            </w:tcBorders>
            <w:shd w:val="clear" w:color="auto" w:fill="auto"/>
            <w:vAlign w:val="bottom"/>
            <w:hideMark/>
          </w:tcPr>
          <w:p w14:paraId="3DCD1A90"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Std. Deviation</w:t>
            </w:r>
          </w:p>
        </w:tc>
        <w:tc>
          <w:tcPr>
            <w:tcW w:w="586" w:type="pct"/>
            <w:tcBorders>
              <w:top w:val="nil"/>
              <w:bottom w:val="single" w:sz="4" w:space="0" w:color="auto"/>
            </w:tcBorders>
            <w:shd w:val="clear" w:color="auto" w:fill="auto"/>
            <w:vAlign w:val="bottom"/>
            <w:hideMark/>
          </w:tcPr>
          <w:p w14:paraId="0080CF12"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Std. Error Mean</w:t>
            </w:r>
          </w:p>
        </w:tc>
        <w:tc>
          <w:tcPr>
            <w:tcW w:w="464" w:type="pct"/>
            <w:tcBorders>
              <w:top w:val="nil"/>
              <w:bottom w:val="single" w:sz="4" w:space="0" w:color="auto"/>
            </w:tcBorders>
            <w:shd w:val="clear" w:color="auto" w:fill="auto"/>
            <w:vAlign w:val="bottom"/>
            <w:hideMark/>
          </w:tcPr>
          <w:p w14:paraId="6894A753" w14:textId="77777777" w:rsidR="00A36492" w:rsidRPr="00E67244" w:rsidRDefault="00A36492" w:rsidP="006A640E">
            <w:pPr>
              <w:spacing w:after="0" w:line="360" w:lineRule="auto"/>
              <w:jc w:val="center"/>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Sig. (2-tailed)</w:t>
            </w:r>
          </w:p>
        </w:tc>
        <w:tc>
          <w:tcPr>
            <w:tcW w:w="547" w:type="pct"/>
            <w:tcBorders>
              <w:top w:val="nil"/>
              <w:bottom w:val="single" w:sz="4" w:space="0" w:color="auto"/>
            </w:tcBorders>
            <w:shd w:val="clear" w:color="auto" w:fill="auto"/>
            <w:noWrap/>
            <w:vAlign w:val="bottom"/>
            <w:hideMark/>
          </w:tcPr>
          <w:p w14:paraId="29E4076D" w14:textId="77777777" w:rsidR="00A36492" w:rsidRPr="00E67244" w:rsidRDefault="00A36492" w:rsidP="006A640E">
            <w:pPr>
              <w:spacing w:after="0" w:line="360" w:lineRule="auto"/>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Lower</w:t>
            </w:r>
          </w:p>
        </w:tc>
        <w:tc>
          <w:tcPr>
            <w:tcW w:w="609" w:type="pct"/>
            <w:tcBorders>
              <w:top w:val="nil"/>
              <w:bottom w:val="single" w:sz="4" w:space="0" w:color="auto"/>
            </w:tcBorders>
            <w:shd w:val="clear" w:color="auto" w:fill="auto"/>
            <w:noWrap/>
            <w:vAlign w:val="bottom"/>
            <w:hideMark/>
          </w:tcPr>
          <w:p w14:paraId="2BFDB199" w14:textId="77777777" w:rsidR="00A36492" w:rsidRPr="00E67244" w:rsidRDefault="00A36492" w:rsidP="006A640E">
            <w:pPr>
              <w:spacing w:after="0" w:line="360" w:lineRule="auto"/>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Upper</w:t>
            </w:r>
          </w:p>
        </w:tc>
      </w:tr>
      <w:tr w:rsidR="00A36492" w:rsidRPr="00E67244" w14:paraId="4EADBA81" w14:textId="77777777" w:rsidTr="006A640E">
        <w:trPr>
          <w:trHeight w:val="300"/>
        </w:trPr>
        <w:tc>
          <w:tcPr>
            <w:tcW w:w="1026" w:type="pct"/>
            <w:tcBorders>
              <w:top w:val="single" w:sz="4" w:space="0" w:color="auto"/>
            </w:tcBorders>
            <w:shd w:val="clear" w:color="auto" w:fill="auto"/>
            <w:hideMark/>
          </w:tcPr>
          <w:p w14:paraId="27CBCFB7"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Academic</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Pressure</w:t>
            </w:r>
          </w:p>
        </w:tc>
        <w:tc>
          <w:tcPr>
            <w:tcW w:w="357" w:type="pct"/>
            <w:tcBorders>
              <w:top w:val="single" w:sz="4" w:space="0" w:color="auto"/>
            </w:tcBorders>
            <w:shd w:val="clear" w:color="auto" w:fill="auto"/>
            <w:hideMark/>
          </w:tcPr>
          <w:p w14:paraId="50EC67D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tcBorders>
              <w:top w:val="single" w:sz="4" w:space="0" w:color="auto"/>
            </w:tcBorders>
            <w:shd w:val="clear" w:color="auto" w:fill="auto"/>
            <w:noWrap/>
            <w:hideMark/>
          </w:tcPr>
          <w:p w14:paraId="18594E99"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tcBorders>
              <w:top w:val="single" w:sz="4" w:space="0" w:color="auto"/>
            </w:tcBorders>
            <w:shd w:val="clear" w:color="auto" w:fill="auto"/>
            <w:noWrap/>
            <w:hideMark/>
          </w:tcPr>
          <w:p w14:paraId="3528F7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2.3640</w:t>
            </w:r>
          </w:p>
        </w:tc>
        <w:tc>
          <w:tcPr>
            <w:tcW w:w="563" w:type="pct"/>
            <w:tcBorders>
              <w:top w:val="single" w:sz="4" w:space="0" w:color="auto"/>
            </w:tcBorders>
            <w:shd w:val="clear" w:color="auto" w:fill="auto"/>
            <w:noWrap/>
            <w:hideMark/>
          </w:tcPr>
          <w:p w14:paraId="7FB4AAF4"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1.25515</w:t>
            </w:r>
          </w:p>
        </w:tc>
        <w:tc>
          <w:tcPr>
            <w:tcW w:w="586" w:type="pct"/>
            <w:tcBorders>
              <w:top w:val="single" w:sz="4" w:space="0" w:color="auto"/>
            </w:tcBorders>
            <w:shd w:val="clear" w:color="auto" w:fill="auto"/>
            <w:noWrap/>
            <w:hideMark/>
          </w:tcPr>
          <w:p w14:paraId="510F53A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0.01577</w:t>
            </w:r>
          </w:p>
        </w:tc>
        <w:tc>
          <w:tcPr>
            <w:tcW w:w="464" w:type="pct"/>
            <w:tcBorders>
              <w:top w:val="single" w:sz="4" w:space="0" w:color="auto"/>
            </w:tcBorders>
            <w:shd w:val="clear" w:color="auto" w:fill="auto"/>
            <w:noWrap/>
            <w:hideMark/>
          </w:tcPr>
          <w:p w14:paraId="540998DE"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w:t>
            </w:r>
          </w:p>
        </w:tc>
        <w:tc>
          <w:tcPr>
            <w:tcW w:w="547" w:type="pct"/>
            <w:tcBorders>
              <w:top w:val="single" w:sz="4" w:space="0" w:color="auto"/>
            </w:tcBorders>
            <w:shd w:val="clear" w:color="auto" w:fill="auto"/>
            <w:noWrap/>
            <w:vAlign w:val="bottom"/>
            <w:hideMark/>
          </w:tcPr>
          <w:p w14:paraId="0F3A5D02"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-1.35637</w:t>
            </w:r>
          </w:p>
        </w:tc>
        <w:tc>
          <w:tcPr>
            <w:tcW w:w="609" w:type="pct"/>
            <w:tcBorders>
              <w:top w:val="single" w:sz="4" w:space="0" w:color="auto"/>
            </w:tcBorders>
            <w:shd w:val="clear" w:color="auto" w:fill="auto"/>
            <w:noWrap/>
            <w:vAlign w:val="bottom"/>
            <w:hideMark/>
          </w:tcPr>
          <w:p w14:paraId="4D0EDFD5"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-1.27582</w:t>
            </w:r>
          </w:p>
        </w:tc>
      </w:tr>
      <w:tr w:rsidR="00A36492" w:rsidRPr="00E67244" w14:paraId="280FA8B6" w14:textId="77777777" w:rsidTr="006A640E">
        <w:trPr>
          <w:trHeight w:val="300"/>
        </w:trPr>
        <w:tc>
          <w:tcPr>
            <w:tcW w:w="1026" w:type="pct"/>
            <w:shd w:val="clear" w:color="auto" w:fill="auto"/>
            <w:hideMark/>
          </w:tcPr>
          <w:p w14:paraId="79D8D5AE"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0E8A66DB"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6E988F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8062</w:t>
            </w:r>
          </w:p>
        </w:tc>
        <w:tc>
          <w:tcPr>
            <w:tcW w:w="441" w:type="pct"/>
            <w:shd w:val="clear" w:color="auto" w:fill="auto"/>
            <w:noWrap/>
            <w:hideMark/>
          </w:tcPr>
          <w:p w14:paraId="6DCF17A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3.6801</w:t>
            </w:r>
          </w:p>
        </w:tc>
        <w:tc>
          <w:tcPr>
            <w:tcW w:w="563" w:type="pct"/>
            <w:shd w:val="clear" w:color="auto" w:fill="auto"/>
            <w:noWrap/>
            <w:hideMark/>
          </w:tcPr>
          <w:p w14:paraId="3CCA70E7"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1.19856</w:t>
            </w:r>
          </w:p>
        </w:tc>
        <w:tc>
          <w:tcPr>
            <w:tcW w:w="586" w:type="pct"/>
            <w:shd w:val="clear" w:color="auto" w:fill="auto"/>
            <w:noWrap/>
            <w:hideMark/>
          </w:tcPr>
          <w:p w14:paraId="3D5A19A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0.01335</w:t>
            </w:r>
          </w:p>
        </w:tc>
        <w:tc>
          <w:tcPr>
            <w:tcW w:w="464" w:type="pct"/>
            <w:shd w:val="clear" w:color="auto" w:fill="auto"/>
            <w:noWrap/>
            <w:vAlign w:val="bottom"/>
            <w:hideMark/>
          </w:tcPr>
          <w:p w14:paraId="4497A776"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09003AC1"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68DAAC44"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r w:rsidR="00A36492" w:rsidRPr="00E67244" w14:paraId="61ADE1CC" w14:textId="77777777" w:rsidTr="006A640E">
        <w:trPr>
          <w:trHeight w:val="300"/>
        </w:trPr>
        <w:tc>
          <w:tcPr>
            <w:tcW w:w="1026" w:type="pct"/>
            <w:shd w:val="clear" w:color="auto" w:fill="auto"/>
            <w:hideMark/>
          </w:tcPr>
          <w:p w14:paraId="7BC81931"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Work</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Pressure</w:t>
            </w:r>
          </w:p>
        </w:tc>
        <w:tc>
          <w:tcPr>
            <w:tcW w:w="357" w:type="pct"/>
            <w:shd w:val="clear" w:color="auto" w:fill="auto"/>
            <w:hideMark/>
          </w:tcPr>
          <w:p w14:paraId="467B6D27"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shd w:val="clear" w:color="auto" w:fill="auto"/>
            <w:noWrap/>
            <w:hideMark/>
          </w:tcPr>
          <w:p w14:paraId="081750D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shd w:val="clear" w:color="auto" w:fill="auto"/>
            <w:noWrap/>
            <w:hideMark/>
          </w:tcPr>
          <w:p w14:paraId="0185935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0.0008</w:t>
            </w:r>
          </w:p>
        </w:tc>
        <w:tc>
          <w:tcPr>
            <w:tcW w:w="563" w:type="pct"/>
            <w:shd w:val="clear" w:color="auto" w:fill="auto"/>
            <w:noWrap/>
            <w:hideMark/>
          </w:tcPr>
          <w:p w14:paraId="7C712EE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0.06282</w:t>
            </w:r>
          </w:p>
        </w:tc>
        <w:tc>
          <w:tcPr>
            <w:tcW w:w="586" w:type="pct"/>
            <w:shd w:val="clear" w:color="auto" w:fill="auto"/>
            <w:noWrap/>
            <w:hideMark/>
          </w:tcPr>
          <w:p w14:paraId="1D21B275"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0.00079</w:t>
            </w:r>
          </w:p>
        </w:tc>
        <w:tc>
          <w:tcPr>
            <w:tcW w:w="464" w:type="pct"/>
            <w:shd w:val="clear" w:color="auto" w:fill="auto"/>
            <w:noWrap/>
            <w:hideMark/>
          </w:tcPr>
          <w:p w14:paraId="30C803A7"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0.864</w:t>
            </w:r>
          </w:p>
        </w:tc>
        <w:tc>
          <w:tcPr>
            <w:tcW w:w="547" w:type="pct"/>
            <w:shd w:val="clear" w:color="auto" w:fill="auto"/>
            <w:noWrap/>
            <w:vAlign w:val="bottom"/>
            <w:hideMark/>
          </w:tcPr>
          <w:p w14:paraId="0440ECA5"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-0.00177</w:t>
            </w:r>
          </w:p>
        </w:tc>
        <w:tc>
          <w:tcPr>
            <w:tcW w:w="609" w:type="pct"/>
            <w:shd w:val="clear" w:color="auto" w:fill="auto"/>
            <w:noWrap/>
            <w:vAlign w:val="bottom"/>
            <w:hideMark/>
          </w:tcPr>
          <w:p w14:paraId="49C33AA6"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0.002109</w:t>
            </w:r>
          </w:p>
        </w:tc>
      </w:tr>
      <w:tr w:rsidR="00A36492" w:rsidRPr="00E67244" w14:paraId="4FA29FDD" w14:textId="77777777" w:rsidTr="006A640E">
        <w:trPr>
          <w:trHeight w:val="300"/>
        </w:trPr>
        <w:tc>
          <w:tcPr>
            <w:tcW w:w="1026" w:type="pct"/>
            <w:shd w:val="clear" w:color="auto" w:fill="auto"/>
            <w:hideMark/>
          </w:tcPr>
          <w:p w14:paraId="66BC33B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5D19B153"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3DB4AAE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8062</w:t>
            </w:r>
          </w:p>
        </w:tc>
        <w:tc>
          <w:tcPr>
            <w:tcW w:w="441" w:type="pct"/>
            <w:shd w:val="clear" w:color="auto" w:fill="auto"/>
            <w:noWrap/>
            <w:hideMark/>
          </w:tcPr>
          <w:p w14:paraId="570DFD8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0.0006</w:t>
            </w:r>
          </w:p>
        </w:tc>
        <w:tc>
          <w:tcPr>
            <w:tcW w:w="563" w:type="pct"/>
            <w:shd w:val="clear" w:color="auto" w:fill="auto"/>
            <w:noWrap/>
            <w:hideMark/>
          </w:tcPr>
          <w:p w14:paraId="4EC4A73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0.05569</w:t>
            </w:r>
          </w:p>
        </w:tc>
        <w:tc>
          <w:tcPr>
            <w:tcW w:w="586" w:type="pct"/>
            <w:shd w:val="clear" w:color="auto" w:fill="auto"/>
            <w:noWrap/>
            <w:hideMark/>
          </w:tcPr>
          <w:p w14:paraId="694FF47F"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0.00062</w:t>
            </w:r>
          </w:p>
        </w:tc>
        <w:tc>
          <w:tcPr>
            <w:tcW w:w="464" w:type="pct"/>
            <w:shd w:val="clear" w:color="auto" w:fill="auto"/>
            <w:noWrap/>
            <w:vAlign w:val="bottom"/>
            <w:hideMark/>
          </w:tcPr>
          <w:p w14:paraId="3B638E3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7553CB43"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2AA9D023"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r w:rsidR="00A36492" w:rsidRPr="00E67244" w14:paraId="12071EB9" w14:textId="77777777" w:rsidTr="006A640E">
        <w:trPr>
          <w:trHeight w:val="300"/>
        </w:trPr>
        <w:tc>
          <w:tcPr>
            <w:tcW w:w="1026" w:type="pct"/>
            <w:shd w:val="clear" w:color="auto" w:fill="auto"/>
            <w:hideMark/>
          </w:tcPr>
          <w:p w14:paraId="2CDBB043"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Financial</w:t>
            </w:r>
            <w:r>
              <w:rPr>
                <w:rFonts w:ascii="Arial" w:eastAsia="Times New Roman" w:hAnsi="Arial" w:cs="Arial"/>
                <w:kern w:val="0"/>
                <w:sz w:val="18"/>
                <w:szCs w:val="18"/>
                <w:lang w:eastAsia="en-NG"/>
                <w14:ligatures w14:val="none"/>
              </w:rPr>
              <w:t xml:space="preserve"> </w:t>
            </w:r>
            <w:r w:rsidRPr="00E67244">
              <w:rPr>
                <w:rFonts w:ascii="Arial" w:eastAsia="Times New Roman" w:hAnsi="Arial" w:cs="Arial"/>
                <w:kern w:val="0"/>
                <w:sz w:val="18"/>
                <w:szCs w:val="18"/>
                <w:lang w:eastAsia="en-NG"/>
                <w14:ligatures w14:val="none"/>
              </w:rPr>
              <w:t>Stress</w:t>
            </w:r>
          </w:p>
        </w:tc>
        <w:tc>
          <w:tcPr>
            <w:tcW w:w="357" w:type="pct"/>
            <w:shd w:val="clear" w:color="auto" w:fill="auto"/>
            <w:hideMark/>
          </w:tcPr>
          <w:p w14:paraId="0305BF0E"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Yes</w:t>
            </w:r>
          </w:p>
        </w:tc>
        <w:tc>
          <w:tcPr>
            <w:tcW w:w="407" w:type="pct"/>
            <w:shd w:val="clear" w:color="auto" w:fill="auto"/>
            <w:noWrap/>
            <w:hideMark/>
          </w:tcPr>
          <w:p w14:paraId="0E7F1EDB"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6335</w:t>
            </w:r>
          </w:p>
        </w:tc>
        <w:tc>
          <w:tcPr>
            <w:tcW w:w="441" w:type="pct"/>
            <w:shd w:val="clear" w:color="auto" w:fill="auto"/>
            <w:noWrap/>
            <w:hideMark/>
          </w:tcPr>
          <w:p w14:paraId="3DCF75D4"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2.5478</w:t>
            </w:r>
          </w:p>
        </w:tc>
        <w:tc>
          <w:tcPr>
            <w:tcW w:w="563" w:type="pct"/>
            <w:shd w:val="clear" w:color="auto" w:fill="auto"/>
            <w:noWrap/>
            <w:hideMark/>
          </w:tcPr>
          <w:p w14:paraId="5AE80E52"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1.33799</w:t>
            </w:r>
          </w:p>
        </w:tc>
        <w:tc>
          <w:tcPr>
            <w:tcW w:w="586" w:type="pct"/>
            <w:shd w:val="clear" w:color="auto" w:fill="auto"/>
            <w:noWrap/>
            <w:hideMark/>
          </w:tcPr>
          <w:p w14:paraId="137A447F"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0.01681</w:t>
            </w:r>
          </w:p>
        </w:tc>
        <w:tc>
          <w:tcPr>
            <w:tcW w:w="464" w:type="pct"/>
            <w:shd w:val="clear" w:color="auto" w:fill="auto"/>
            <w:noWrap/>
            <w:hideMark/>
          </w:tcPr>
          <w:p w14:paraId="54A27468"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0.000</w:t>
            </w:r>
          </w:p>
        </w:tc>
        <w:tc>
          <w:tcPr>
            <w:tcW w:w="547" w:type="pct"/>
            <w:shd w:val="clear" w:color="auto" w:fill="auto"/>
            <w:noWrap/>
            <w:vAlign w:val="bottom"/>
            <w:hideMark/>
          </w:tcPr>
          <w:p w14:paraId="7758A36D"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-1.08</w:t>
            </w:r>
          </w:p>
        </w:tc>
        <w:tc>
          <w:tcPr>
            <w:tcW w:w="609" w:type="pct"/>
            <w:shd w:val="clear" w:color="auto" w:fill="auto"/>
            <w:noWrap/>
            <w:vAlign w:val="bottom"/>
            <w:hideMark/>
          </w:tcPr>
          <w:p w14:paraId="1E829126" w14:textId="77777777" w:rsidR="00A36492" w:rsidRPr="00E67244" w:rsidRDefault="00A36492" w:rsidP="006A640E">
            <w:pPr>
              <w:spacing w:after="0" w:line="360" w:lineRule="auto"/>
              <w:jc w:val="right"/>
              <w:rPr>
                <w:rFonts w:ascii="Calibri" w:eastAsia="Times New Roman" w:hAnsi="Calibri" w:cs="Calibri"/>
                <w:kern w:val="0"/>
                <w:lang w:eastAsia="en-NG"/>
                <w14:ligatures w14:val="none"/>
              </w:rPr>
            </w:pPr>
            <w:r w:rsidRPr="00E67244">
              <w:rPr>
                <w:rFonts w:ascii="Calibri" w:eastAsia="Times New Roman" w:hAnsi="Calibri" w:cs="Calibri"/>
                <w:kern w:val="0"/>
                <w:lang w:eastAsia="en-NG"/>
                <w14:ligatures w14:val="none"/>
              </w:rPr>
              <w:t>-0.9921</w:t>
            </w:r>
          </w:p>
        </w:tc>
      </w:tr>
      <w:tr w:rsidR="00A36492" w:rsidRPr="00E67244" w14:paraId="35EFD963" w14:textId="77777777" w:rsidTr="006A640E">
        <w:trPr>
          <w:trHeight w:val="300"/>
        </w:trPr>
        <w:tc>
          <w:tcPr>
            <w:tcW w:w="1026" w:type="pct"/>
            <w:shd w:val="clear" w:color="auto" w:fill="auto"/>
            <w:hideMark/>
          </w:tcPr>
          <w:p w14:paraId="3632505C"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 </w:t>
            </w:r>
          </w:p>
        </w:tc>
        <w:tc>
          <w:tcPr>
            <w:tcW w:w="357" w:type="pct"/>
            <w:shd w:val="clear" w:color="auto" w:fill="auto"/>
            <w:hideMark/>
          </w:tcPr>
          <w:p w14:paraId="4341B941" w14:textId="77777777" w:rsidR="00A36492" w:rsidRPr="00E67244" w:rsidRDefault="00A36492" w:rsidP="006A640E">
            <w:pPr>
              <w:spacing w:after="0" w:line="360" w:lineRule="auto"/>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No</w:t>
            </w:r>
          </w:p>
        </w:tc>
        <w:tc>
          <w:tcPr>
            <w:tcW w:w="407" w:type="pct"/>
            <w:shd w:val="clear" w:color="auto" w:fill="auto"/>
            <w:noWrap/>
            <w:hideMark/>
          </w:tcPr>
          <w:p w14:paraId="4B6CD8A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8061</w:t>
            </w:r>
          </w:p>
        </w:tc>
        <w:tc>
          <w:tcPr>
            <w:tcW w:w="441" w:type="pct"/>
            <w:shd w:val="clear" w:color="auto" w:fill="auto"/>
            <w:noWrap/>
            <w:hideMark/>
          </w:tcPr>
          <w:p w14:paraId="29C0DAB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3.5838</w:t>
            </w:r>
          </w:p>
        </w:tc>
        <w:tc>
          <w:tcPr>
            <w:tcW w:w="563" w:type="pct"/>
            <w:shd w:val="clear" w:color="auto" w:fill="auto"/>
            <w:noWrap/>
            <w:hideMark/>
          </w:tcPr>
          <w:p w14:paraId="66942421"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1.33351</w:t>
            </w:r>
          </w:p>
        </w:tc>
        <w:tc>
          <w:tcPr>
            <w:tcW w:w="586" w:type="pct"/>
            <w:shd w:val="clear" w:color="auto" w:fill="auto"/>
            <w:noWrap/>
            <w:hideMark/>
          </w:tcPr>
          <w:p w14:paraId="5C3AEAEA"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r w:rsidRPr="00E67244">
              <w:rPr>
                <w:rFonts w:ascii="Arial" w:eastAsia="Times New Roman" w:hAnsi="Arial" w:cs="Arial"/>
                <w:kern w:val="0"/>
                <w:sz w:val="18"/>
                <w:szCs w:val="18"/>
                <w:lang w:eastAsia="en-NG"/>
                <w14:ligatures w14:val="none"/>
              </w:rPr>
              <w:t>0.01485</w:t>
            </w:r>
          </w:p>
        </w:tc>
        <w:tc>
          <w:tcPr>
            <w:tcW w:w="464" w:type="pct"/>
            <w:shd w:val="clear" w:color="auto" w:fill="auto"/>
            <w:noWrap/>
            <w:vAlign w:val="bottom"/>
            <w:hideMark/>
          </w:tcPr>
          <w:p w14:paraId="5B53068C" w14:textId="77777777" w:rsidR="00A36492" w:rsidRPr="00E67244" w:rsidRDefault="00A36492" w:rsidP="006A640E">
            <w:pPr>
              <w:spacing w:after="0" w:line="360" w:lineRule="auto"/>
              <w:jc w:val="right"/>
              <w:rPr>
                <w:rFonts w:ascii="Arial" w:eastAsia="Times New Roman" w:hAnsi="Arial" w:cs="Arial"/>
                <w:kern w:val="0"/>
                <w:sz w:val="18"/>
                <w:szCs w:val="18"/>
                <w:lang w:eastAsia="en-NG"/>
                <w14:ligatures w14:val="none"/>
              </w:rPr>
            </w:pPr>
          </w:p>
        </w:tc>
        <w:tc>
          <w:tcPr>
            <w:tcW w:w="547" w:type="pct"/>
            <w:shd w:val="clear" w:color="auto" w:fill="auto"/>
            <w:noWrap/>
            <w:vAlign w:val="bottom"/>
            <w:hideMark/>
          </w:tcPr>
          <w:p w14:paraId="1B2F0626"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c>
          <w:tcPr>
            <w:tcW w:w="609" w:type="pct"/>
            <w:shd w:val="clear" w:color="auto" w:fill="auto"/>
            <w:noWrap/>
            <w:vAlign w:val="bottom"/>
            <w:hideMark/>
          </w:tcPr>
          <w:p w14:paraId="760B98BF" w14:textId="77777777" w:rsidR="00A36492" w:rsidRPr="00E67244" w:rsidRDefault="00A36492" w:rsidP="006A640E">
            <w:pPr>
              <w:spacing w:after="0" w:line="360" w:lineRule="auto"/>
              <w:rPr>
                <w:rFonts w:ascii="Times New Roman" w:eastAsia="Times New Roman" w:hAnsi="Times New Roman" w:cs="Times New Roman"/>
                <w:kern w:val="0"/>
                <w:sz w:val="20"/>
                <w:szCs w:val="20"/>
                <w:lang w:eastAsia="en-NG"/>
                <w14:ligatures w14:val="none"/>
              </w:rPr>
            </w:pPr>
          </w:p>
        </w:tc>
      </w:tr>
    </w:tbl>
    <w:p w14:paraId="4D738A7F" w14:textId="77777777" w:rsidR="00A36492" w:rsidRDefault="00A36492" w:rsidP="00A36492"/>
    <w:p w14:paraId="68A48EC5" w14:textId="77777777" w:rsidR="00F87188" w:rsidRDefault="00F87188" w:rsidP="00A36492"/>
    <w:p w14:paraId="614D2745" w14:textId="77777777" w:rsidR="00F87188" w:rsidRDefault="00F87188" w:rsidP="00A36492"/>
    <w:tbl>
      <w:tblPr>
        <w:tblW w:w="5000" w:type="pct"/>
        <w:tblBorders>
          <w:top w:val="single" w:sz="4" w:space="0" w:color="auto"/>
          <w:bottom w:val="single" w:sz="4" w:space="0" w:color="auto"/>
        </w:tblBorders>
        <w:tblLook w:val="04A0" w:firstRow="1" w:lastRow="0" w:firstColumn="1" w:lastColumn="0" w:noHBand="0" w:noVBand="1"/>
      </w:tblPr>
      <w:tblGrid>
        <w:gridCol w:w="1592"/>
        <w:gridCol w:w="527"/>
        <w:gridCol w:w="617"/>
        <w:gridCol w:w="767"/>
        <w:gridCol w:w="1233"/>
        <w:gridCol w:w="1311"/>
        <w:gridCol w:w="1123"/>
        <w:gridCol w:w="928"/>
        <w:gridCol w:w="928"/>
      </w:tblGrid>
      <w:tr w:rsidR="00A36492" w:rsidRPr="00950F4C" w14:paraId="31A19309" w14:textId="77777777" w:rsidTr="006A640E">
        <w:trPr>
          <w:trHeight w:val="750"/>
        </w:trPr>
        <w:tc>
          <w:tcPr>
            <w:tcW w:w="3972" w:type="pct"/>
            <w:gridSpan w:val="7"/>
            <w:tcBorders>
              <w:bottom w:val="nil"/>
            </w:tcBorders>
            <w:shd w:val="clear" w:color="auto" w:fill="auto"/>
            <w:vAlign w:val="center"/>
            <w:hideMark/>
          </w:tcPr>
          <w:p w14:paraId="64951AAD" w14:textId="77777777" w:rsidR="00A36492" w:rsidRPr="00950F4C" w:rsidRDefault="00A36492" w:rsidP="006A640E">
            <w:pPr>
              <w:spacing w:after="0" w:line="360" w:lineRule="auto"/>
              <w:jc w:val="center"/>
              <w:rPr>
                <w:rFonts w:ascii="Times New Roman" w:eastAsia="Times New Roman" w:hAnsi="Times New Roman" w:cs="Times New Roman"/>
                <w:color w:val="000000" w:themeColor="text1"/>
                <w:kern w:val="0"/>
                <w:sz w:val="20"/>
                <w:szCs w:val="20"/>
                <w:lang w:eastAsia="en-NG"/>
                <w14:ligatures w14:val="none"/>
              </w:rPr>
            </w:pPr>
            <w:r w:rsidRPr="00950F4C">
              <w:rPr>
                <w:rFonts w:ascii="Arial" w:eastAsia="Times New Roman" w:hAnsi="Arial" w:cs="Arial"/>
                <w:color w:val="000000" w:themeColor="text1"/>
                <w:kern w:val="0"/>
                <w:sz w:val="18"/>
                <w:szCs w:val="18"/>
                <w:lang w:eastAsia="en-NG"/>
                <w14:ligatures w14:val="none"/>
              </w:rPr>
              <w:lastRenderedPageBreak/>
              <w:t>Mental illness history = Yes</w:t>
            </w:r>
            <w:r>
              <w:rPr>
                <w:rFonts w:ascii="Arial" w:eastAsia="Times New Roman" w:hAnsi="Arial" w:cs="Arial"/>
                <w:color w:val="000000" w:themeColor="text1"/>
                <w:kern w:val="0"/>
                <w:sz w:val="18"/>
                <w:szCs w:val="18"/>
                <w:lang w:eastAsia="en-NG"/>
                <w14:ligatures w14:val="none"/>
              </w:rPr>
              <w:t>. Equal variance assumed</w:t>
            </w:r>
          </w:p>
        </w:tc>
        <w:tc>
          <w:tcPr>
            <w:tcW w:w="1028" w:type="pct"/>
            <w:gridSpan w:val="2"/>
            <w:tcBorders>
              <w:bottom w:val="nil"/>
            </w:tcBorders>
            <w:shd w:val="clear" w:color="auto" w:fill="auto"/>
            <w:vAlign w:val="bottom"/>
            <w:hideMark/>
          </w:tcPr>
          <w:p w14:paraId="472D584E"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95% CI</w:t>
            </w:r>
          </w:p>
        </w:tc>
      </w:tr>
      <w:tr w:rsidR="00A36492" w:rsidRPr="00950F4C" w14:paraId="6EACB108" w14:textId="77777777" w:rsidTr="006A640E">
        <w:trPr>
          <w:trHeight w:val="424"/>
        </w:trPr>
        <w:tc>
          <w:tcPr>
            <w:tcW w:w="882" w:type="pct"/>
            <w:tcBorders>
              <w:top w:val="nil"/>
              <w:bottom w:val="single" w:sz="4" w:space="0" w:color="auto"/>
            </w:tcBorders>
            <w:shd w:val="clear" w:color="auto" w:fill="auto"/>
            <w:vAlign w:val="bottom"/>
            <w:hideMark/>
          </w:tcPr>
          <w:p w14:paraId="1E928CEC"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Depression</w:t>
            </w:r>
          </w:p>
        </w:tc>
        <w:tc>
          <w:tcPr>
            <w:tcW w:w="292" w:type="pct"/>
            <w:tcBorders>
              <w:top w:val="nil"/>
              <w:bottom w:val="single" w:sz="4" w:space="0" w:color="auto"/>
            </w:tcBorders>
            <w:shd w:val="clear" w:color="auto" w:fill="auto"/>
            <w:vAlign w:val="bottom"/>
            <w:hideMark/>
          </w:tcPr>
          <w:p w14:paraId="77350C9A"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342" w:type="pct"/>
            <w:tcBorders>
              <w:top w:val="nil"/>
              <w:bottom w:val="single" w:sz="4" w:space="0" w:color="auto"/>
            </w:tcBorders>
            <w:shd w:val="clear" w:color="auto" w:fill="auto"/>
            <w:vAlign w:val="bottom"/>
            <w:hideMark/>
          </w:tcPr>
          <w:p w14:paraId="49316C1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w:t>
            </w:r>
          </w:p>
        </w:tc>
        <w:tc>
          <w:tcPr>
            <w:tcW w:w="425" w:type="pct"/>
            <w:tcBorders>
              <w:top w:val="nil"/>
              <w:bottom w:val="single" w:sz="4" w:space="0" w:color="auto"/>
            </w:tcBorders>
            <w:shd w:val="clear" w:color="auto" w:fill="auto"/>
            <w:vAlign w:val="bottom"/>
            <w:hideMark/>
          </w:tcPr>
          <w:p w14:paraId="080CFA8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Mean</w:t>
            </w:r>
          </w:p>
        </w:tc>
        <w:tc>
          <w:tcPr>
            <w:tcW w:w="683" w:type="pct"/>
            <w:tcBorders>
              <w:top w:val="nil"/>
              <w:bottom w:val="single" w:sz="4" w:space="0" w:color="auto"/>
            </w:tcBorders>
            <w:shd w:val="clear" w:color="auto" w:fill="auto"/>
            <w:vAlign w:val="bottom"/>
            <w:hideMark/>
          </w:tcPr>
          <w:p w14:paraId="74F4327B"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Std. Deviation</w:t>
            </w:r>
          </w:p>
        </w:tc>
        <w:tc>
          <w:tcPr>
            <w:tcW w:w="726" w:type="pct"/>
            <w:tcBorders>
              <w:top w:val="nil"/>
              <w:bottom w:val="single" w:sz="4" w:space="0" w:color="auto"/>
            </w:tcBorders>
            <w:shd w:val="clear" w:color="auto" w:fill="auto"/>
            <w:vAlign w:val="bottom"/>
            <w:hideMark/>
          </w:tcPr>
          <w:p w14:paraId="57419B48"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Std. Error Mean</w:t>
            </w:r>
          </w:p>
        </w:tc>
        <w:tc>
          <w:tcPr>
            <w:tcW w:w="622" w:type="pct"/>
            <w:tcBorders>
              <w:top w:val="nil"/>
              <w:bottom w:val="single" w:sz="4" w:space="0" w:color="auto"/>
            </w:tcBorders>
            <w:shd w:val="clear" w:color="auto" w:fill="auto"/>
            <w:vAlign w:val="bottom"/>
            <w:hideMark/>
          </w:tcPr>
          <w:p w14:paraId="0AEF0A14"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Sig. (2-tailed)</w:t>
            </w:r>
          </w:p>
        </w:tc>
        <w:tc>
          <w:tcPr>
            <w:tcW w:w="514" w:type="pct"/>
            <w:tcBorders>
              <w:top w:val="nil"/>
              <w:bottom w:val="single" w:sz="4" w:space="0" w:color="auto"/>
            </w:tcBorders>
            <w:shd w:val="clear" w:color="auto" w:fill="auto"/>
            <w:vAlign w:val="bottom"/>
            <w:hideMark/>
          </w:tcPr>
          <w:p w14:paraId="0F624A7B"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Lower</w:t>
            </w:r>
          </w:p>
        </w:tc>
        <w:tc>
          <w:tcPr>
            <w:tcW w:w="514" w:type="pct"/>
            <w:tcBorders>
              <w:top w:val="nil"/>
              <w:bottom w:val="single" w:sz="4" w:space="0" w:color="auto"/>
            </w:tcBorders>
            <w:shd w:val="clear" w:color="auto" w:fill="auto"/>
            <w:vAlign w:val="bottom"/>
            <w:hideMark/>
          </w:tcPr>
          <w:p w14:paraId="48D0006A" w14:textId="77777777" w:rsidR="00A36492" w:rsidRPr="00950F4C" w:rsidRDefault="00A36492" w:rsidP="006A640E">
            <w:pPr>
              <w:spacing w:after="0" w:line="360" w:lineRule="auto"/>
              <w:jc w:val="center"/>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Upper</w:t>
            </w:r>
          </w:p>
        </w:tc>
      </w:tr>
      <w:tr w:rsidR="00A36492" w:rsidRPr="00950F4C" w14:paraId="6B54D970" w14:textId="77777777" w:rsidTr="006A640E">
        <w:trPr>
          <w:trHeight w:val="300"/>
        </w:trPr>
        <w:tc>
          <w:tcPr>
            <w:tcW w:w="882" w:type="pct"/>
            <w:tcBorders>
              <w:top w:val="single" w:sz="4" w:space="0" w:color="auto"/>
            </w:tcBorders>
            <w:shd w:val="clear" w:color="auto" w:fill="auto"/>
            <w:hideMark/>
          </w:tcPr>
          <w:p w14:paraId="72106788"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Academic Pressure</w:t>
            </w:r>
          </w:p>
        </w:tc>
        <w:tc>
          <w:tcPr>
            <w:tcW w:w="292" w:type="pct"/>
            <w:tcBorders>
              <w:top w:val="single" w:sz="4" w:space="0" w:color="auto"/>
            </w:tcBorders>
            <w:shd w:val="clear" w:color="auto" w:fill="auto"/>
            <w:hideMark/>
          </w:tcPr>
          <w:p w14:paraId="7A60AE56"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tcBorders>
              <w:top w:val="single" w:sz="4" w:space="0" w:color="auto"/>
            </w:tcBorders>
            <w:shd w:val="clear" w:color="auto" w:fill="auto"/>
            <w:noWrap/>
            <w:hideMark/>
          </w:tcPr>
          <w:p w14:paraId="6A0D02A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5230</w:t>
            </w:r>
          </w:p>
        </w:tc>
        <w:tc>
          <w:tcPr>
            <w:tcW w:w="425" w:type="pct"/>
            <w:tcBorders>
              <w:top w:val="single" w:sz="4" w:space="0" w:color="auto"/>
            </w:tcBorders>
            <w:shd w:val="clear" w:color="auto" w:fill="auto"/>
            <w:noWrap/>
            <w:hideMark/>
          </w:tcPr>
          <w:p w14:paraId="102C237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2.3587</w:t>
            </w:r>
          </w:p>
        </w:tc>
        <w:tc>
          <w:tcPr>
            <w:tcW w:w="683" w:type="pct"/>
            <w:tcBorders>
              <w:top w:val="single" w:sz="4" w:space="0" w:color="auto"/>
            </w:tcBorders>
            <w:shd w:val="clear" w:color="auto" w:fill="auto"/>
            <w:noWrap/>
            <w:hideMark/>
          </w:tcPr>
          <w:p w14:paraId="0859D27F"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1.25036</w:t>
            </w:r>
          </w:p>
        </w:tc>
        <w:tc>
          <w:tcPr>
            <w:tcW w:w="726" w:type="pct"/>
            <w:tcBorders>
              <w:top w:val="single" w:sz="4" w:space="0" w:color="auto"/>
            </w:tcBorders>
            <w:shd w:val="clear" w:color="auto" w:fill="auto"/>
            <w:noWrap/>
            <w:hideMark/>
          </w:tcPr>
          <w:p w14:paraId="78ECF713"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0.01729</w:t>
            </w:r>
          </w:p>
        </w:tc>
        <w:tc>
          <w:tcPr>
            <w:tcW w:w="622" w:type="pct"/>
            <w:tcBorders>
              <w:top w:val="single" w:sz="4" w:space="0" w:color="auto"/>
            </w:tcBorders>
            <w:shd w:val="clear" w:color="auto" w:fill="auto"/>
            <w:noWrap/>
            <w:hideMark/>
          </w:tcPr>
          <w:p w14:paraId="35CF82CC"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w:t>
            </w:r>
          </w:p>
        </w:tc>
        <w:tc>
          <w:tcPr>
            <w:tcW w:w="514" w:type="pct"/>
            <w:tcBorders>
              <w:top w:val="single" w:sz="4" w:space="0" w:color="auto"/>
            </w:tcBorders>
            <w:shd w:val="clear" w:color="auto" w:fill="auto"/>
            <w:noWrap/>
            <w:hideMark/>
          </w:tcPr>
          <w:p w14:paraId="74D99F5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-1.38902</w:t>
            </w:r>
          </w:p>
        </w:tc>
        <w:tc>
          <w:tcPr>
            <w:tcW w:w="514" w:type="pct"/>
            <w:tcBorders>
              <w:top w:val="single" w:sz="4" w:space="0" w:color="auto"/>
            </w:tcBorders>
            <w:shd w:val="clear" w:color="auto" w:fill="auto"/>
            <w:noWrap/>
            <w:hideMark/>
          </w:tcPr>
          <w:p w14:paraId="5BC338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-1.30541</w:t>
            </w:r>
          </w:p>
        </w:tc>
      </w:tr>
      <w:tr w:rsidR="00A36492" w:rsidRPr="00950F4C" w14:paraId="6CF73BF0" w14:textId="77777777" w:rsidTr="006A640E">
        <w:trPr>
          <w:trHeight w:val="300"/>
        </w:trPr>
        <w:tc>
          <w:tcPr>
            <w:tcW w:w="882" w:type="pct"/>
            <w:shd w:val="clear" w:color="auto" w:fill="auto"/>
            <w:hideMark/>
          </w:tcPr>
          <w:p w14:paraId="31267F3F"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2CEC5A8C"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025A6B5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61D521E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3.7059</w:t>
            </w:r>
          </w:p>
        </w:tc>
        <w:tc>
          <w:tcPr>
            <w:tcW w:w="683" w:type="pct"/>
            <w:shd w:val="clear" w:color="auto" w:fill="auto"/>
            <w:noWrap/>
            <w:hideMark/>
          </w:tcPr>
          <w:p w14:paraId="48827C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1.17926</w:t>
            </w:r>
          </w:p>
        </w:tc>
        <w:tc>
          <w:tcPr>
            <w:tcW w:w="726" w:type="pct"/>
            <w:shd w:val="clear" w:color="auto" w:fill="auto"/>
            <w:noWrap/>
            <w:hideMark/>
          </w:tcPr>
          <w:p w14:paraId="50E8721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0.01297</w:t>
            </w:r>
          </w:p>
        </w:tc>
        <w:tc>
          <w:tcPr>
            <w:tcW w:w="622" w:type="pct"/>
            <w:shd w:val="clear" w:color="auto" w:fill="auto"/>
            <w:noWrap/>
            <w:vAlign w:val="bottom"/>
            <w:hideMark/>
          </w:tcPr>
          <w:p w14:paraId="006DB27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0B63B44E"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0B08D59A"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r w:rsidR="00A36492" w:rsidRPr="00950F4C" w14:paraId="4259A1B6" w14:textId="77777777" w:rsidTr="006A640E">
        <w:trPr>
          <w:trHeight w:val="300"/>
        </w:trPr>
        <w:tc>
          <w:tcPr>
            <w:tcW w:w="882" w:type="pct"/>
            <w:shd w:val="clear" w:color="auto" w:fill="auto"/>
            <w:hideMark/>
          </w:tcPr>
          <w:p w14:paraId="63C35737"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Work Pressure</w:t>
            </w:r>
          </w:p>
        </w:tc>
        <w:tc>
          <w:tcPr>
            <w:tcW w:w="292" w:type="pct"/>
            <w:shd w:val="clear" w:color="auto" w:fill="auto"/>
            <w:hideMark/>
          </w:tcPr>
          <w:p w14:paraId="57F5C64D"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shd w:val="clear" w:color="auto" w:fill="auto"/>
            <w:noWrap/>
            <w:hideMark/>
          </w:tcPr>
          <w:p w14:paraId="0AC55257"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5230</w:t>
            </w:r>
          </w:p>
        </w:tc>
        <w:tc>
          <w:tcPr>
            <w:tcW w:w="425" w:type="pct"/>
            <w:shd w:val="clear" w:color="auto" w:fill="auto"/>
            <w:noWrap/>
            <w:hideMark/>
          </w:tcPr>
          <w:p w14:paraId="4EF4895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0.0004</w:t>
            </w:r>
          </w:p>
        </w:tc>
        <w:tc>
          <w:tcPr>
            <w:tcW w:w="683" w:type="pct"/>
            <w:shd w:val="clear" w:color="auto" w:fill="auto"/>
            <w:noWrap/>
            <w:hideMark/>
          </w:tcPr>
          <w:p w14:paraId="16453E6D"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0.02766</w:t>
            </w:r>
          </w:p>
        </w:tc>
        <w:tc>
          <w:tcPr>
            <w:tcW w:w="726" w:type="pct"/>
            <w:shd w:val="clear" w:color="auto" w:fill="auto"/>
            <w:noWrap/>
            <w:hideMark/>
          </w:tcPr>
          <w:p w14:paraId="7978861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0.00038</w:t>
            </w:r>
          </w:p>
        </w:tc>
        <w:tc>
          <w:tcPr>
            <w:tcW w:w="622" w:type="pct"/>
            <w:shd w:val="clear" w:color="auto" w:fill="auto"/>
            <w:noWrap/>
            <w:hideMark/>
          </w:tcPr>
          <w:p w14:paraId="1FBCAD1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0.209</w:t>
            </w:r>
          </w:p>
        </w:tc>
        <w:tc>
          <w:tcPr>
            <w:tcW w:w="514" w:type="pct"/>
            <w:shd w:val="clear" w:color="auto" w:fill="auto"/>
            <w:noWrap/>
            <w:hideMark/>
          </w:tcPr>
          <w:p w14:paraId="2449471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-0.00021</w:t>
            </w:r>
          </w:p>
        </w:tc>
        <w:tc>
          <w:tcPr>
            <w:tcW w:w="514" w:type="pct"/>
            <w:shd w:val="clear" w:color="auto" w:fill="auto"/>
            <w:noWrap/>
            <w:hideMark/>
          </w:tcPr>
          <w:p w14:paraId="2A380662"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0.00098</w:t>
            </w:r>
          </w:p>
        </w:tc>
      </w:tr>
      <w:tr w:rsidR="00A36492" w:rsidRPr="00950F4C" w14:paraId="3D29A433" w14:textId="77777777" w:rsidTr="006A640E">
        <w:trPr>
          <w:trHeight w:val="300"/>
        </w:trPr>
        <w:tc>
          <w:tcPr>
            <w:tcW w:w="882" w:type="pct"/>
            <w:shd w:val="clear" w:color="auto" w:fill="auto"/>
            <w:hideMark/>
          </w:tcPr>
          <w:p w14:paraId="039DA13B"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513F0D4E"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7AEE3E0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20CD8FF2"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w:t>
            </w:r>
          </w:p>
        </w:tc>
        <w:tc>
          <w:tcPr>
            <w:tcW w:w="683" w:type="pct"/>
            <w:shd w:val="clear" w:color="auto" w:fill="auto"/>
            <w:noWrap/>
            <w:hideMark/>
          </w:tcPr>
          <w:p w14:paraId="0917F9D4"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0.00000</w:t>
            </w:r>
          </w:p>
        </w:tc>
        <w:tc>
          <w:tcPr>
            <w:tcW w:w="726" w:type="pct"/>
            <w:shd w:val="clear" w:color="auto" w:fill="auto"/>
            <w:noWrap/>
            <w:hideMark/>
          </w:tcPr>
          <w:p w14:paraId="77D7F55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0.00000</w:t>
            </w:r>
          </w:p>
        </w:tc>
        <w:tc>
          <w:tcPr>
            <w:tcW w:w="622" w:type="pct"/>
            <w:shd w:val="clear" w:color="auto" w:fill="auto"/>
            <w:noWrap/>
            <w:vAlign w:val="bottom"/>
            <w:hideMark/>
          </w:tcPr>
          <w:p w14:paraId="32EC9EDE"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3A977966"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60191438"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r w:rsidR="00A36492" w:rsidRPr="00950F4C" w14:paraId="34587F11" w14:textId="77777777" w:rsidTr="006A640E">
        <w:trPr>
          <w:trHeight w:val="300"/>
        </w:trPr>
        <w:tc>
          <w:tcPr>
            <w:tcW w:w="882" w:type="pct"/>
            <w:shd w:val="clear" w:color="auto" w:fill="auto"/>
            <w:hideMark/>
          </w:tcPr>
          <w:p w14:paraId="018D1C09"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Financial Stress</w:t>
            </w:r>
          </w:p>
        </w:tc>
        <w:tc>
          <w:tcPr>
            <w:tcW w:w="292" w:type="pct"/>
            <w:shd w:val="clear" w:color="auto" w:fill="auto"/>
            <w:hideMark/>
          </w:tcPr>
          <w:p w14:paraId="1D794124"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Yes</w:t>
            </w:r>
          </w:p>
        </w:tc>
        <w:tc>
          <w:tcPr>
            <w:tcW w:w="342" w:type="pct"/>
            <w:shd w:val="clear" w:color="auto" w:fill="auto"/>
            <w:noWrap/>
            <w:hideMark/>
          </w:tcPr>
          <w:p w14:paraId="4FC4BA93"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5228</w:t>
            </w:r>
          </w:p>
        </w:tc>
        <w:tc>
          <w:tcPr>
            <w:tcW w:w="425" w:type="pct"/>
            <w:shd w:val="clear" w:color="auto" w:fill="auto"/>
            <w:noWrap/>
            <w:hideMark/>
          </w:tcPr>
          <w:p w14:paraId="49367D1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2.4836</w:t>
            </w:r>
          </w:p>
        </w:tc>
        <w:tc>
          <w:tcPr>
            <w:tcW w:w="683" w:type="pct"/>
            <w:shd w:val="clear" w:color="auto" w:fill="auto"/>
            <w:noWrap/>
            <w:hideMark/>
          </w:tcPr>
          <w:p w14:paraId="4A69E23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1.35702</w:t>
            </w:r>
          </w:p>
        </w:tc>
        <w:tc>
          <w:tcPr>
            <w:tcW w:w="726" w:type="pct"/>
            <w:shd w:val="clear" w:color="auto" w:fill="auto"/>
            <w:noWrap/>
            <w:hideMark/>
          </w:tcPr>
          <w:p w14:paraId="5B18A31C"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0.01877</w:t>
            </w:r>
          </w:p>
        </w:tc>
        <w:tc>
          <w:tcPr>
            <w:tcW w:w="622" w:type="pct"/>
            <w:shd w:val="clear" w:color="auto" w:fill="auto"/>
            <w:noWrap/>
            <w:hideMark/>
          </w:tcPr>
          <w:p w14:paraId="5B36536B"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0.000</w:t>
            </w:r>
          </w:p>
        </w:tc>
        <w:tc>
          <w:tcPr>
            <w:tcW w:w="514" w:type="pct"/>
            <w:shd w:val="clear" w:color="auto" w:fill="auto"/>
            <w:noWrap/>
            <w:hideMark/>
          </w:tcPr>
          <w:p w14:paraId="4E2B1F7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-1.13819</w:t>
            </w:r>
          </w:p>
        </w:tc>
        <w:tc>
          <w:tcPr>
            <w:tcW w:w="514" w:type="pct"/>
            <w:shd w:val="clear" w:color="auto" w:fill="auto"/>
            <w:noWrap/>
            <w:hideMark/>
          </w:tcPr>
          <w:p w14:paraId="6761F748"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-1.04520</w:t>
            </w:r>
          </w:p>
        </w:tc>
      </w:tr>
      <w:tr w:rsidR="00A36492" w:rsidRPr="00950F4C" w14:paraId="714F1D0D" w14:textId="77777777" w:rsidTr="006A640E">
        <w:trPr>
          <w:trHeight w:val="300"/>
        </w:trPr>
        <w:tc>
          <w:tcPr>
            <w:tcW w:w="882" w:type="pct"/>
            <w:shd w:val="clear" w:color="auto" w:fill="auto"/>
            <w:hideMark/>
          </w:tcPr>
          <w:p w14:paraId="420F76F5"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 </w:t>
            </w:r>
          </w:p>
        </w:tc>
        <w:tc>
          <w:tcPr>
            <w:tcW w:w="292" w:type="pct"/>
            <w:shd w:val="clear" w:color="auto" w:fill="auto"/>
            <w:hideMark/>
          </w:tcPr>
          <w:p w14:paraId="66536F4A" w14:textId="77777777" w:rsidR="00A36492" w:rsidRPr="00950F4C" w:rsidRDefault="00A36492" w:rsidP="006A640E">
            <w:pPr>
              <w:spacing w:after="0" w:line="360" w:lineRule="auto"/>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No</w:t>
            </w:r>
          </w:p>
        </w:tc>
        <w:tc>
          <w:tcPr>
            <w:tcW w:w="342" w:type="pct"/>
            <w:shd w:val="clear" w:color="auto" w:fill="auto"/>
            <w:noWrap/>
            <w:hideMark/>
          </w:tcPr>
          <w:p w14:paraId="29E1655E"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8273</w:t>
            </w:r>
          </w:p>
        </w:tc>
        <w:tc>
          <w:tcPr>
            <w:tcW w:w="425" w:type="pct"/>
            <w:shd w:val="clear" w:color="auto" w:fill="auto"/>
            <w:noWrap/>
            <w:hideMark/>
          </w:tcPr>
          <w:p w14:paraId="46FA87D0"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3.5752</w:t>
            </w:r>
          </w:p>
        </w:tc>
        <w:tc>
          <w:tcPr>
            <w:tcW w:w="683" w:type="pct"/>
            <w:shd w:val="clear" w:color="auto" w:fill="auto"/>
            <w:noWrap/>
            <w:hideMark/>
          </w:tcPr>
          <w:p w14:paraId="1439070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1.33323</w:t>
            </w:r>
          </w:p>
        </w:tc>
        <w:tc>
          <w:tcPr>
            <w:tcW w:w="726" w:type="pct"/>
            <w:shd w:val="clear" w:color="auto" w:fill="auto"/>
            <w:noWrap/>
            <w:hideMark/>
          </w:tcPr>
          <w:p w14:paraId="6ACFC141"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r w:rsidRPr="00950F4C">
              <w:rPr>
                <w:rFonts w:ascii="Arial" w:eastAsia="Times New Roman" w:hAnsi="Arial" w:cs="Arial"/>
                <w:color w:val="000000" w:themeColor="text1"/>
                <w:kern w:val="0"/>
                <w:sz w:val="18"/>
                <w:szCs w:val="18"/>
                <w:lang w:eastAsia="en-NG"/>
                <w14:ligatures w14:val="none"/>
              </w:rPr>
              <w:t>0.01466</w:t>
            </w:r>
          </w:p>
        </w:tc>
        <w:tc>
          <w:tcPr>
            <w:tcW w:w="622" w:type="pct"/>
            <w:shd w:val="clear" w:color="auto" w:fill="auto"/>
            <w:noWrap/>
            <w:vAlign w:val="bottom"/>
            <w:hideMark/>
          </w:tcPr>
          <w:p w14:paraId="3F35C46A" w14:textId="77777777" w:rsidR="00A36492" w:rsidRPr="00950F4C" w:rsidRDefault="00A36492" w:rsidP="006A640E">
            <w:pPr>
              <w:spacing w:after="0" w:line="360" w:lineRule="auto"/>
              <w:jc w:val="right"/>
              <w:rPr>
                <w:rFonts w:ascii="Arial" w:eastAsia="Times New Roman" w:hAnsi="Arial" w:cs="Arial"/>
                <w:color w:val="000000" w:themeColor="text1"/>
                <w:kern w:val="0"/>
                <w:sz w:val="18"/>
                <w:szCs w:val="18"/>
                <w:lang w:eastAsia="en-NG"/>
                <w14:ligatures w14:val="none"/>
              </w:rPr>
            </w:pPr>
          </w:p>
        </w:tc>
        <w:tc>
          <w:tcPr>
            <w:tcW w:w="514" w:type="pct"/>
            <w:shd w:val="clear" w:color="auto" w:fill="auto"/>
            <w:noWrap/>
            <w:vAlign w:val="bottom"/>
            <w:hideMark/>
          </w:tcPr>
          <w:p w14:paraId="0CBCDC45"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c>
          <w:tcPr>
            <w:tcW w:w="514" w:type="pct"/>
            <w:shd w:val="clear" w:color="auto" w:fill="auto"/>
            <w:noWrap/>
            <w:vAlign w:val="bottom"/>
            <w:hideMark/>
          </w:tcPr>
          <w:p w14:paraId="445AFAAA" w14:textId="77777777" w:rsidR="00A36492" w:rsidRPr="00950F4C" w:rsidRDefault="00A36492" w:rsidP="006A640E">
            <w:pPr>
              <w:spacing w:after="0" w:line="360" w:lineRule="auto"/>
              <w:rPr>
                <w:rFonts w:ascii="Times New Roman" w:eastAsia="Times New Roman" w:hAnsi="Times New Roman" w:cs="Times New Roman"/>
                <w:color w:val="000000" w:themeColor="text1"/>
                <w:kern w:val="0"/>
                <w:sz w:val="20"/>
                <w:szCs w:val="20"/>
                <w:lang w:eastAsia="en-NG"/>
                <w14:ligatures w14:val="none"/>
              </w:rPr>
            </w:pPr>
          </w:p>
        </w:tc>
      </w:tr>
    </w:tbl>
    <w:p w14:paraId="031A7F00" w14:textId="77777777" w:rsidR="00A36492" w:rsidRDefault="00A36492" w:rsidP="00A36492"/>
    <w:p w14:paraId="2A86DF78" w14:textId="77777777" w:rsidR="00A36492" w:rsidRPr="00A94416" w:rsidRDefault="00A36492" w:rsidP="00A36492">
      <w:pPr>
        <w:rPr>
          <w:rFonts w:ascii="Times New Roman" w:eastAsia="Times New Roman" w:hAnsi="Times New Roman" w:cs="Times New Roman"/>
          <w:color w:val="000000"/>
          <w:kern w:val="0"/>
          <w:sz w:val="24"/>
          <w:szCs w:val="24"/>
          <w:lang w:eastAsia="en-NG"/>
          <w14:ligatures w14:val="none"/>
        </w:rPr>
      </w:pPr>
      <w:r w:rsidRPr="00A94416">
        <w:rPr>
          <w:rFonts w:ascii="Times New Roman" w:hAnsi="Times New Roman" w:cs="Times New Roman"/>
          <w:sz w:val="24"/>
          <w:szCs w:val="24"/>
        </w:rPr>
        <w:t>Testing mean difference</w:t>
      </w:r>
      <w:r>
        <w:rPr>
          <w:rFonts w:ascii="Times New Roman" w:hAnsi="Times New Roman" w:cs="Times New Roman"/>
          <w:sz w:val="24"/>
          <w:szCs w:val="24"/>
        </w:rPr>
        <w:t xml:space="preserve"> between mental history</w:t>
      </w:r>
      <w:r w:rsidRPr="00A94416">
        <w:rPr>
          <w:rFonts w:ascii="Times New Roman" w:hAnsi="Times New Roman" w:cs="Times New Roman"/>
          <w:sz w:val="24"/>
          <w:szCs w:val="24"/>
        </w:rPr>
        <w:t xml:space="preserve"> </w:t>
      </w:r>
      <w:r>
        <w:rPr>
          <w:rFonts w:ascii="Times New Roman" w:hAnsi="Times New Roman" w:cs="Times New Roman"/>
          <w:sz w:val="24"/>
          <w:szCs w:val="24"/>
        </w:rPr>
        <w:t xml:space="preserve">P-value </w:t>
      </w:r>
      <w:r w:rsidRPr="00A94416">
        <w:rPr>
          <w:rFonts w:ascii="Times New Roman" w:hAnsi="Times New Roman" w:cs="Times New Roman"/>
          <w:sz w:val="24"/>
          <w:szCs w:val="24"/>
        </w:rPr>
        <w:t xml:space="preserve">= </w:t>
      </w:r>
      <w:r w:rsidRPr="00A94416">
        <w:rPr>
          <w:rFonts w:ascii="Times New Roman" w:eastAsia="Times New Roman" w:hAnsi="Times New Roman" w:cs="Times New Roman"/>
          <w:color w:val="000000"/>
          <w:kern w:val="0"/>
          <w:sz w:val="24"/>
          <w:szCs w:val="24"/>
          <w:lang w:eastAsia="en-NG"/>
          <w14:ligatures w14:val="none"/>
        </w:rPr>
        <w:t>0.992</w:t>
      </w:r>
    </w:p>
    <w:p w14:paraId="1337C87A" w14:textId="77777777" w:rsidR="00A36492" w:rsidRPr="005D3C41" w:rsidRDefault="00A36492" w:rsidP="00A36492">
      <w:pPr>
        <w:rPr>
          <w:b/>
          <w:bCs/>
        </w:rPr>
      </w:pPr>
      <w:r w:rsidRPr="005D3C41">
        <w:rPr>
          <w:b/>
          <w:bCs/>
        </w:rPr>
        <w:t>4. Discussion</w:t>
      </w:r>
    </w:p>
    <w:p w14:paraId="5E12BE8B"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4.1 Key Findings</w:t>
      </w:r>
    </w:p>
    <w:p w14:paraId="1024CC9D" w14:textId="77777777"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Academic and financial stress are key predictors of depression, as predicted by Lazarus &amp; Folkman's (1984) stress-coping theory.</w:t>
      </w:r>
    </w:p>
    <w:p w14:paraId="6ECA6F03" w14:textId="7BD5808E"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Family history plays a marginal aggravating role, suggesting genetic/environmental vulnerabilities</w:t>
      </w:r>
    </w:p>
    <w:p w14:paraId="6711A6F8" w14:textId="77777777" w:rsidR="00A36492" w:rsidRPr="00FD0348" w:rsidRDefault="00A36492" w:rsidP="00A36492">
      <w:pPr>
        <w:pStyle w:val="ListParagraph"/>
        <w:numPr>
          <w:ilvl w:val="0"/>
          <w:numId w:val="1"/>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Null work pressure results might reflect measurement problems (e.g., low variability).</w:t>
      </w:r>
    </w:p>
    <w:p w14:paraId="2B3F730D"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4.2 Implications</w:t>
      </w:r>
    </w:p>
    <w:p w14:paraId="3C2D9656" w14:textId="77777777" w:rsidR="00A36492" w:rsidRPr="00FD0348" w:rsidRDefault="00A36492" w:rsidP="00A36492">
      <w:p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Policy: Academic/financial support should be prioritized in universities (e.g., flexible deadlines, emergency grants).</w:t>
      </w:r>
    </w:p>
    <w:p w14:paraId="3BED2833" w14:textId="77777777" w:rsidR="00A36492" w:rsidRPr="00FD0348" w:rsidRDefault="00A36492" w:rsidP="00A36492">
      <w:p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Research: Replicate with longitudinal designs to permit causality inferences.</w:t>
      </w:r>
    </w:p>
    <w:p w14:paraId="142C06E5"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4.3 Limitations</w:t>
      </w:r>
    </w:p>
    <w:p w14:paraId="781134E9" w14:textId="77777777" w:rsidR="00A36492" w:rsidRPr="00FD0348" w:rsidRDefault="00A36492" w:rsidP="00A36492">
      <w:pPr>
        <w:pStyle w:val="ListParagraph"/>
        <w:numPr>
          <w:ilvl w:val="0"/>
          <w:numId w:val="2"/>
        </w:numPr>
        <w:spacing w:after="0" w:line="360" w:lineRule="auto"/>
        <w:rPr>
          <w:rFonts w:ascii="Times New Roman" w:hAnsi="Times New Roman" w:cs="Times New Roman"/>
          <w:sz w:val="24"/>
          <w:szCs w:val="24"/>
        </w:rPr>
      </w:pPr>
      <w:r w:rsidRPr="00FD0348">
        <w:rPr>
          <w:rFonts w:ascii="Times New Roman" w:hAnsi="Times New Roman" w:cs="Times New Roman"/>
          <w:sz w:val="24"/>
          <w:szCs w:val="24"/>
        </w:rPr>
        <w:t>Cross-sectional data limits causal inference.</w:t>
      </w:r>
    </w:p>
    <w:p w14:paraId="4727D7EA" w14:textId="77777777" w:rsidR="00A36492" w:rsidRPr="00FD0348" w:rsidRDefault="00A36492" w:rsidP="00A36492">
      <w:pPr>
        <w:pStyle w:val="ListParagraph"/>
        <w:numPr>
          <w:ilvl w:val="0"/>
          <w:numId w:val="2"/>
        </w:numPr>
        <w:spacing w:line="360" w:lineRule="auto"/>
        <w:rPr>
          <w:rFonts w:ascii="Times New Roman" w:hAnsi="Times New Roman" w:cs="Times New Roman"/>
          <w:sz w:val="24"/>
          <w:szCs w:val="24"/>
        </w:rPr>
      </w:pPr>
      <w:r w:rsidRPr="00FD0348">
        <w:rPr>
          <w:rFonts w:ascii="Times New Roman" w:hAnsi="Times New Roman" w:cs="Times New Roman"/>
          <w:sz w:val="24"/>
          <w:szCs w:val="24"/>
        </w:rPr>
        <w:t>Self-reported stressors may be prone to bias.</w:t>
      </w:r>
    </w:p>
    <w:p w14:paraId="5E92FCDB" w14:textId="77777777" w:rsidR="00A36492" w:rsidRPr="00FD0348" w:rsidRDefault="00A36492" w:rsidP="00A36492">
      <w:pPr>
        <w:spacing w:after="0" w:line="360" w:lineRule="auto"/>
        <w:rPr>
          <w:rFonts w:ascii="Times New Roman" w:hAnsi="Times New Roman" w:cs="Times New Roman"/>
          <w:b/>
          <w:bCs/>
          <w:sz w:val="24"/>
          <w:szCs w:val="24"/>
        </w:rPr>
      </w:pPr>
      <w:r w:rsidRPr="00FD0348">
        <w:rPr>
          <w:rFonts w:ascii="Times New Roman" w:hAnsi="Times New Roman" w:cs="Times New Roman"/>
          <w:b/>
          <w:bCs/>
          <w:sz w:val="24"/>
          <w:szCs w:val="24"/>
        </w:rPr>
        <w:t>5. Conclusion</w:t>
      </w:r>
    </w:p>
    <w:p w14:paraId="47FB3706" w14:textId="77777777" w:rsidR="00A36492" w:rsidRPr="00FD0348" w:rsidRDefault="00A36492" w:rsidP="00A36492">
      <w:pPr>
        <w:spacing w:after="0" w:line="360" w:lineRule="auto"/>
        <w:jc w:val="both"/>
        <w:rPr>
          <w:rFonts w:ascii="Times New Roman" w:hAnsi="Times New Roman" w:cs="Times New Roman"/>
          <w:sz w:val="24"/>
          <w:szCs w:val="24"/>
        </w:rPr>
      </w:pPr>
      <w:r w:rsidRPr="00FD0348">
        <w:rPr>
          <w:rFonts w:ascii="Times New Roman" w:hAnsi="Times New Roman" w:cs="Times New Roman"/>
          <w:sz w:val="24"/>
          <w:szCs w:val="24"/>
        </w:rPr>
        <w:t>This study confirms academic and financial stress as major correlates of depression</w:t>
      </w:r>
      <w:r>
        <w:rPr>
          <w:rFonts w:ascii="Times New Roman" w:hAnsi="Times New Roman" w:cs="Times New Roman"/>
          <w:sz w:val="24"/>
          <w:szCs w:val="24"/>
        </w:rPr>
        <w:t xml:space="preserve">, while there are no significant differences in depression between the students with or without family history and as such, we reject the null hypothesis </w:t>
      </w:r>
      <w:r w:rsidRPr="00FC65B8">
        <w:rPr>
          <w:rFonts w:ascii="Times New Roman" w:hAnsi="Times New Roman" w:cs="Times New Roman"/>
          <w:sz w:val="24"/>
          <w:szCs w:val="24"/>
        </w:rPr>
        <w:t>H₂</w:t>
      </w:r>
      <w:r w:rsidRPr="00FD0348">
        <w:rPr>
          <w:rFonts w:ascii="Times New Roman" w:hAnsi="Times New Roman" w:cs="Times New Roman"/>
          <w:sz w:val="24"/>
          <w:szCs w:val="24"/>
        </w:rPr>
        <w:t>. Interventions that target these stressors can potentially prevent student mental health crises.</w:t>
      </w:r>
    </w:p>
    <w:p w14:paraId="0B7AB660" w14:textId="77777777" w:rsidR="00A36492" w:rsidRDefault="00A36492" w:rsidP="00A36492">
      <w:pPr>
        <w:jc w:val="both"/>
      </w:pPr>
    </w:p>
    <w:p w14:paraId="5807DB6B" w14:textId="77777777" w:rsidR="00F75FEF" w:rsidRDefault="00F75FEF" w:rsidP="00A36492">
      <w:pPr>
        <w:jc w:val="both"/>
      </w:pPr>
    </w:p>
    <w:p w14:paraId="0F5F5588" w14:textId="77777777" w:rsidR="00F75FEF" w:rsidRDefault="00F75FEF" w:rsidP="00A36492">
      <w:pPr>
        <w:jc w:val="both"/>
      </w:pPr>
    </w:p>
    <w:p w14:paraId="673AFA53" w14:textId="3C308565" w:rsidR="00A36492" w:rsidRDefault="008C4BBF" w:rsidP="005D5C4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sdt>
      <w:sdtPr>
        <w:rPr>
          <w:rFonts w:ascii="Times New Roman" w:hAnsi="Times New Roman" w:cs="Times New Roman"/>
          <w:color w:val="000000"/>
          <w:sz w:val="24"/>
          <w:szCs w:val="24"/>
        </w:rPr>
        <w:tag w:val="MENDELEY_BIBLIOGRAPHY"/>
        <w:id w:val="223418250"/>
        <w:placeholder>
          <w:docPart w:val="DefaultPlaceholder_-1854013440"/>
        </w:placeholder>
      </w:sdtPr>
      <w:sdtEndPr/>
      <w:sdtContent>
        <w:p w14:paraId="3F342E8A" w14:textId="77777777" w:rsidR="00465032" w:rsidRDefault="00465032">
          <w:pPr>
            <w:autoSpaceDE w:val="0"/>
            <w:autoSpaceDN w:val="0"/>
            <w:ind w:hanging="640"/>
            <w:divId w:val="959802554"/>
            <w:rPr>
              <w:rFonts w:eastAsia="Times New Roman"/>
              <w:kern w:val="0"/>
              <w:sz w:val="24"/>
              <w:szCs w:val="24"/>
              <w14:ligatures w14:val="none"/>
            </w:rPr>
          </w:pPr>
          <w:r>
            <w:rPr>
              <w:rFonts w:eastAsia="Times New Roman"/>
            </w:rPr>
            <w:t>[1]</w:t>
          </w:r>
          <w:r>
            <w:rPr>
              <w:rFonts w:eastAsia="Times New Roman"/>
            </w:rPr>
            <w:tab/>
            <w:t xml:space="preserve">N. </w:t>
          </w:r>
          <w:proofErr w:type="spellStart"/>
          <w:r>
            <w:rPr>
              <w:rFonts w:eastAsia="Times New Roman"/>
            </w:rPr>
            <w:t>Liangruenrom</w:t>
          </w:r>
          <w:proofErr w:type="spellEnd"/>
          <w:r>
            <w:rPr>
              <w:rFonts w:eastAsia="Times New Roman"/>
            </w:rPr>
            <w:t xml:space="preserve">, M. </w:t>
          </w:r>
          <w:proofErr w:type="spellStart"/>
          <w:r>
            <w:rPr>
              <w:rFonts w:eastAsia="Times New Roman"/>
            </w:rPr>
            <w:t>Joshanloo</w:t>
          </w:r>
          <w:proofErr w:type="spellEnd"/>
          <w:r>
            <w:rPr>
              <w:rFonts w:eastAsia="Times New Roman"/>
            </w:rPr>
            <w:t xml:space="preserve">, W. </w:t>
          </w:r>
          <w:proofErr w:type="spellStart"/>
          <w:r>
            <w:rPr>
              <w:rFonts w:eastAsia="Times New Roman"/>
            </w:rPr>
            <w:t>Hutaphat</w:t>
          </w:r>
          <w:proofErr w:type="spellEnd"/>
          <w:r>
            <w:rPr>
              <w:rFonts w:eastAsia="Times New Roman"/>
            </w:rPr>
            <w:t xml:space="preserve">, and S. </w:t>
          </w:r>
          <w:proofErr w:type="spellStart"/>
          <w:r>
            <w:rPr>
              <w:rFonts w:eastAsia="Times New Roman"/>
            </w:rPr>
            <w:t>Kittisuksathit</w:t>
          </w:r>
          <w:proofErr w:type="spellEnd"/>
          <w:r>
            <w:rPr>
              <w:rFonts w:eastAsia="Times New Roman"/>
            </w:rPr>
            <w:t xml:space="preserve">, “Prevalence and correlates of depression among Thai university students: nationwide study,” </w:t>
          </w:r>
          <w:proofErr w:type="spellStart"/>
          <w:r>
            <w:rPr>
              <w:rFonts w:eastAsia="Times New Roman"/>
              <w:i/>
              <w:iCs/>
            </w:rPr>
            <w:t>BJPsych</w:t>
          </w:r>
          <w:proofErr w:type="spellEnd"/>
          <w:r>
            <w:rPr>
              <w:rFonts w:eastAsia="Times New Roman"/>
              <w:i/>
              <w:iCs/>
            </w:rPr>
            <w:t xml:space="preserve"> Open</w:t>
          </w:r>
          <w:r>
            <w:rPr>
              <w:rFonts w:eastAsia="Times New Roman"/>
            </w:rPr>
            <w:t xml:space="preserve">, vol. 11, no. 2, p. e59, Mar. 2025, </w:t>
          </w:r>
          <w:proofErr w:type="spellStart"/>
          <w:r>
            <w:rPr>
              <w:rFonts w:eastAsia="Times New Roman"/>
            </w:rPr>
            <w:t>doi</w:t>
          </w:r>
          <w:proofErr w:type="spellEnd"/>
          <w:r>
            <w:rPr>
              <w:rFonts w:eastAsia="Times New Roman"/>
            </w:rPr>
            <w:t>: 10.1192/bjo.2025.21.</w:t>
          </w:r>
        </w:p>
        <w:p w14:paraId="4FEA28EB" w14:textId="77777777" w:rsidR="00465032" w:rsidRDefault="00465032">
          <w:pPr>
            <w:autoSpaceDE w:val="0"/>
            <w:autoSpaceDN w:val="0"/>
            <w:ind w:hanging="640"/>
            <w:divId w:val="1367606984"/>
            <w:rPr>
              <w:rFonts w:eastAsia="Times New Roman"/>
            </w:rPr>
          </w:pPr>
          <w:r>
            <w:rPr>
              <w:rFonts w:eastAsia="Times New Roman"/>
            </w:rPr>
            <w:t>[2]</w:t>
          </w:r>
          <w:r>
            <w:rPr>
              <w:rFonts w:eastAsia="Times New Roman"/>
            </w:rPr>
            <w:tab/>
            <w:t>“New brief on student mental health support in higher education released | International Institute for Higher Education in Latin America and the Caribbean.” Accessed: Apr. 23, 2025. [Online]. Available: https://www.iesalc.unesco.org/en/articles/new-brief-student-mental-health-support-higher-education-released</w:t>
          </w:r>
        </w:p>
        <w:p w14:paraId="65308F78" w14:textId="77777777" w:rsidR="00465032" w:rsidRDefault="00465032">
          <w:pPr>
            <w:autoSpaceDE w:val="0"/>
            <w:autoSpaceDN w:val="0"/>
            <w:ind w:hanging="640"/>
            <w:divId w:val="1575971744"/>
            <w:rPr>
              <w:rFonts w:eastAsia="Times New Roman"/>
            </w:rPr>
          </w:pPr>
          <w:r>
            <w:rPr>
              <w:rFonts w:eastAsia="Times New Roman"/>
            </w:rPr>
            <w:t>[3]</w:t>
          </w:r>
          <w:r>
            <w:rPr>
              <w:rFonts w:eastAsia="Times New Roman"/>
            </w:rPr>
            <w:tab/>
            <w:t xml:space="preserve">R. P. Auerbach </w:t>
          </w:r>
          <w:r>
            <w:rPr>
              <w:rFonts w:eastAsia="Times New Roman"/>
              <w:i/>
              <w:iCs/>
            </w:rPr>
            <w:t>et al.</w:t>
          </w:r>
          <w:r>
            <w:rPr>
              <w:rFonts w:eastAsia="Times New Roman"/>
            </w:rPr>
            <w:t xml:space="preserve">, “WHO world mental health surveys international college student project: Prevalence and distribution of mental disorders,” </w:t>
          </w:r>
          <w:r>
            <w:rPr>
              <w:rFonts w:eastAsia="Times New Roman"/>
              <w:i/>
              <w:iCs/>
            </w:rPr>
            <w:t xml:space="preserve">J </w:t>
          </w:r>
          <w:proofErr w:type="spellStart"/>
          <w:r>
            <w:rPr>
              <w:rFonts w:eastAsia="Times New Roman"/>
              <w:i/>
              <w:iCs/>
            </w:rPr>
            <w:t>Abnorm</w:t>
          </w:r>
          <w:proofErr w:type="spellEnd"/>
          <w:r>
            <w:rPr>
              <w:rFonts w:eastAsia="Times New Roman"/>
              <w:i/>
              <w:iCs/>
            </w:rPr>
            <w:t xml:space="preserve"> Psychol</w:t>
          </w:r>
          <w:r>
            <w:rPr>
              <w:rFonts w:eastAsia="Times New Roman"/>
            </w:rPr>
            <w:t xml:space="preserve">, vol. 127, no. 7, pp. 623–638, Oct. 2018, </w:t>
          </w:r>
          <w:proofErr w:type="spellStart"/>
          <w:r>
            <w:rPr>
              <w:rFonts w:eastAsia="Times New Roman"/>
            </w:rPr>
            <w:t>doi</w:t>
          </w:r>
          <w:proofErr w:type="spellEnd"/>
          <w:r>
            <w:rPr>
              <w:rFonts w:eastAsia="Times New Roman"/>
            </w:rPr>
            <w:t>: 10.1037/abn0000362.</w:t>
          </w:r>
        </w:p>
        <w:p w14:paraId="12FCCF1B" w14:textId="77777777" w:rsidR="00465032" w:rsidRDefault="00465032">
          <w:pPr>
            <w:autoSpaceDE w:val="0"/>
            <w:autoSpaceDN w:val="0"/>
            <w:ind w:hanging="640"/>
            <w:divId w:val="604775697"/>
            <w:rPr>
              <w:rFonts w:eastAsia="Times New Roman"/>
            </w:rPr>
          </w:pPr>
          <w:r>
            <w:rPr>
              <w:rFonts w:eastAsia="Times New Roman"/>
            </w:rPr>
            <w:t>[4]</w:t>
          </w:r>
          <w:r>
            <w:rPr>
              <w:rFonts w:eastAsia="Times New Roman"/>
            </w:rPr>
            <w:tab/>
            <w:t>“The Consequences of Academic Pressure on Students’ Mental Health.” Accessed: Apr. 23, 2025. [Online]. Available: https://www.transformationsnetwork.com/post/the-consequences-of-academic-pressure-on-students-mental-health</w:t>
          </w:r>
        </w:p>
        <w:p w14:paraId="07A1F07D" w14:textId="77777777" w:rsidR="00465032" w:rsidRDefault="00465032">
          <w:pPr>
            <w:autoSpaceDE w:val="0"/>
            <w:autoSpaceDN w:val="0"/>
            <w:ind w:hanging="640"/>
            <w:divId w:val="1323701458"/>
            <w:rPr>
              <w:rFonts w:eastAsia="Times New Roman"/>
            </w:rPr>
          </w:pPr>
          <w:r>
            <w:rPr>
              <w:rFonts w:eastAsia="Times New Roman"/>
            </w:rPr>
            <w:t>[5]</w:t>
          </w:r>
          <w:r>
            <w:rPr>
              <w:rFonts w:eastAsia="Times New Roman"/>
            </w:rPr>
            <w:tab/>
            <w:t>“Hidden Cost of Working Through College: Students Struggle to Balance Mental Health – The Red Line Project.” Accessed: Apr. 23, 2025. [Online]. Available: https://redlineproject.news/2024/11/30/hidden-cost-of-working-through-college-students-struggle-to-balance-mental-health/</w:t>
          </w:r>
        </w:p>
        <w:p w14:paraId="6A93AF4B" w14:textId="77777777" w:rsidR="00465032" w:rsidRDefault="00465032">
          <w:pPr>
            <w:autoSpaceDE w:val="0"/>
            <w:autoSpaceDN w:val="0"/>
            <w:ind w:hanging="640"/>
            <w:divId w:val="1502425487"/>
            <w:rPr>
              <w:rFonts w:eastAsia="Times New Roman"/>
            </w:rPr>
          </w:pPr>
          <w:r>
            <w:rPr>
              <w:rFonts w:eastAsia="Times New Roman"/>
            </w:rPr>
            <w:t>[6]</w:t>
          </w:r>
          <w:r>
            <w:rPr>
              <w:rFonts w:eastAsia="Times New Roman"/>
            </w:rPr>
            <w:tab/>
            <w:t xml:space="preserve">“Understanding </w:t>
          </w:r>
          <w:proofErr w:type="gramStart"/>
          <w:r>
            <w:rPr>
              <w:rFonts w:eastAsia="Times New Roman"/>
            </w:rPr>
            <w:t>The</w:t>
          </w:r>
          <w:proofErr w:type="gramEnd"/>
          <w:r>
            <w:rPr>
              <w:rFonts w:eastAsia="Times New Roman"/>
            </w:rPr>
            <w:t xml:space="preserve"> Impact </w:t>
          </w:r>
          <w:proofErr w:type="gramStart"/>
          <w:r>
            <w:rPr>
              <w:rFonts w:eastAsia="Times New Roman"/>
            </w:rPr>
            <w:t>Of</w:t>
          </w:r>
          <w:proofErr w:type="gramEnd"/>
          <w:r>
            <w:rPr>
              <w:rFonts w:eastAsia="Times New Roman"/>
            </w:rPr>
            <w:t xml:space="preserve"> Financial Stress </w:t>
          </w:r>
          <w:proofErr w:type="gramStart"/>
          <w:r>
            <w:rPr>
              <w:rFonts w:eastAsia="Times New Roman"/>
            </w:rPr>
            <w:t>In</w:t>
          </w:r>
          <w:proofErr w:type="gramEnd"/>
          <w:r>
            <w:rPr>
              <w:rFonts w:eastAsia="Times New Roman"/>
            </w:rPr>
            <w:t xml:space="preserve"> College Students | </w:t>
          </w:r>
          <w:proofErr w:type="spellStart"/>
          <w:r>
            <w:rPr>
              <w:rFonts w:eastAsia="Times New Roman"/>
            </w:rPr>
            <w:t>BetterHelp</w:t>
          </w:r>
          <w:proofErr w:type="spellEnd"/>
          <w:r>
            <w:rPr>
              <w:rFonts w:eastAsia="Times New Roman"/>
            </w:rPr>
            <w:t>.” Accessed: Apr. 23, 2025. [Online]. Available: https://www.betterhelp.com/advice/stress/understanding-the-impact-of-financial-stress-in-college-students/</w:t>
          </w:r>
        </w:p>
        <w:p w14:paraId="7184DC43" w14:textId="3EB8BFD1" w:rsidR="008C4BBF" w:rsidRDefault="00465032" w:rsidP="00A36492">
          <w:pPr>
            <w:rPr>
              <w:rFonts w:ascii="Times New Roman" w:hAnsi="Times New Roman" w:cs="Times New Roman"/>
              <w:sz w:val="24"/>
              <w:szCs w:val="24"/>
            </w:rPr>
          </w:pPr>
          <w:r>
            <w:rPr>
              <w:rFonts w:eastAsia="Times New Roman"/>
            </w:rPr>
            <w:t> </w:t>
          </w:r>
        </w:p>
      </w:sdtContent>
    </w:sdt>
    <w:p w14:paraId="0252C3DC" w14:textId="77777777" w:rsidR="005D5C4B" w:rsidRDefault="005D5C4B" w:rsidP="00A36492">
      <w:pPr>
        <w:rPr>
          <w:rFonts w:ascii="Times New Roman" w:hAnsi="Times New Roman" w:cs="Times New Roman"/>
          <w:sz w:val="24"/>
          <w:szCs w:val="24"/>
        </w:rPr>
      </w:pPr>
    </w:p>
    <w:p w14:paraId="5CA2225C" w14:textId="7EB1B3FC" w:rsidR="00A36492" w:rsidRPr="00FA11CD" w:rsidRDefault="00A36492" w:rsidP="00A36492">
      <w:pPr>
        <w:rPr>
          <w:rFonts w:ascii="Times New Roman" w:hAnsi="Times New Roman" w:cs="Times New Roman"/>
          <w:sz w:val="24"/>
          <w:szCs w:val="24"/>
        </w:rPr>
      </w:pPr>
      <w:r w:rsidRPr="003232EC">
        <w:rPr>
          <w:rFonts w:ascii="Times New Roman" w:hAnsi="Times New Roman" w:cs="Times New Roman"/>
          <w:sz w:val="24"/>
          <w:szCs w:val="24"/>
        </w:rPr>
        <w:t>Ethics Statement:</w:t>
      </w:r>
      <w:r w:rsidRPr="00FA11CD">
        <w:rPr>
          <w:rFonts w:ascii="Times New Roman" w:hAnsi="Times New Roman" w:cs="Times New Roman"/>
          <w:sz w:val="24"/>
          <w:szCs w:val="24"/>
        </w:rPr>
        <w:t xml:space="preserve"> This study used anonymized data; no ethical approval was required.</w:t>
      </w:r>
    </w:p>
    <w:p w14:paraId="530D05F4" w14:textId="77777777" w:rsidR="00A36492" w:rsidRPr="00FA11CD" w:rsidRDefault="00A36492" w:rsidP="00A36492">
      <w:pPr>
        <w:rPr>
          <w:rFonts w:ascii="Times New Roman" w:hAnsi="Times New Roman" w:cs="Times New Roman"/>
          <w:sz w:val="24"/>
          <w:szCs w:val="24"/>
        </w:rPr>
      </w:pPr>
      <w:r w:rsidRPr="003232EC">
        <w:rPr>
          <w:rFonts w:ascii="Times New Roman" w:hAnsi="Times New Roman" w:cs="Times New Roman"/>
          <w:sz w:val="24"/>
          <w:szCs w:val="24"/>
        </w:rPr>
        <w:t>Conflicts of Interest:</w:t>
      </w:r>
      <w:r w:rsidRPr="00FA11CD">
        <w:rPr>
          <w:rFonts w:ascii="Times New Roman" w:hAnsi="Times New Roman" w:cs="Times New Roman"/>
          <w:sz w:val="24"/>
          <w:szCs w:val="24"/>
        </w:rPr>
        <w:t xml:space="preserve"> None declared.</w:t>
      </w:r>
    </w:p>
    <w:p w14:paraId="35AA3603" w14:textId="77777777" w:rsidR="00A36492" w:rsidRPr="00FA11CD" w:rsidRDefault="00A36492" w:rsidP="00A36492">
      <w:pPr>
        <w:rPr>
          <w:rFonts w:ascii="Times New Roman" w:hAnsi="Times New Roman" w:cs="Times New Roman"/>
          <w:sz w:val="24"/>
          <w:szCs w:val="24"/>
        </w:rPr>
      </w:pPr>
    </w:p>
    <w:p w14:paraId="5DE6D8CB" w14:textId="77777777" w:rsidR="00A36492" w:rsidRDefault="00A36492" w:rsidP="00A36492">
      <w:pPr>
        <w:jc w:val="both"/>
      </w:pPr>
    </w:p>
    <w:p w14:paraId="5CEF810B" w14:textId="77777777" w:rsidR="00180A87" w:rsidRDefault="00180A87"/>
    <w:sectPr w:rsidR="00180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06125"/>
    <w:multiLevelType w:val="hybridMultilevel"/>
    <w:tmpl w:val="1CA445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222F79"/>
    <w:multiLevelType w:val="hybridMultilevel"/>
    <w:tmpl w:val="CAF82C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4205366">
    <w:abstractNumId w:val="1"/>
  </w:num>
  <w:num w:numId="2" w16cid:durableId="186243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92"/>
    <w:rsid w:val="00006E72"/>
    <w:rsid w:val="00180A87"/>
    <w:rsid w:val="00187FD1"/>
    <w:rsid w:val="00227555"/>
    <w:rsid w:val="00263773"/>
    <w:rsid w:val="002E0E5A"/>
    <w:rsid w:val="00373BC1"/>
    <w:rsid w:val="004443BD"/>
    <w:rsid w:val="00465032"/>
    <w:rsid w:val="004761C4"/>
    <w:rsid w:val="004A2923"/>
    <w:rsid w:val="00516A74"/>
    <w:rsid w:val="005D5C4B"/>
    <w:rsid w:val="00640440"/>
    <w:rsid w:val="006B6B41"/>
    <w:rsid w:val="007501A5"/>
    <w:rsid w:val="007E5D09"/>
    <w:rsid w:val="008377BD"/>
    <w:rsid w:val="0088415A"/>
    <w:rsid w:val="008C4BBF"/>
    <w:rsid w:val="008D01DF"/>
    <w:rsid w:val="0099708A"/>
    <w:rsid w:val="00A2674B"/>
    <w:rsid w:val="00A36492"/>
    <w:rsid w:val="00A45EAB"/>
    <w:rsid w:val="00AB0175"/>
    <w:rsid w:val="00B22245"/>
    <w:rsid w:val="00B84DD1"/>
    <w:rsid w:val="00B9731D"/>
    <w:rsid w:val="00BC5515"/>
    <w:rsid w:val="00BF754A"/>
    <w:rsid w:val="00C603EF"/>
    <w:rsid w:val="00F62EAA"/>
    <w:rsid w:val="00F75FEF"/>
    <w:rsid w:val="00F87188"/>
    <w:rsid w:val="00FF46F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AA3"/>
  <w15:chartTrackingRefBased/>
  <w15:docId w15:val="{794A755B-0C36-4B84-AE92-8A715773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92"/>
  </w:style>
  <w:style w:type="paragraph" w:styleId="Heading1">
    <w:name w:val="heading 1"/>
    <w:basedOn w:val="Normal"/>
    <w:next w:val="Normal"/>
    <w:link w:val="Heading1Char"/>
    <w:uiPriority w:val="9"/>
    <w:qFormat/>
    <w:rsid w:val="00A364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4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4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4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4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4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4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4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4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492"/>
    <w:rPr>
      <w:rFonts w:eastAsiaTheme="majorEastAsia" w:cstheme="majorBidi"/>
      <w:color w:val="272727" w:themeColor="text1" w:themeTint="D8"/>
    </w:rPr>
  </w:style>
  <w:style w:type="paragraph" w:styleId="Title">
    <w:name w:val="Title"/>
    <w:basedOn w:val="Normal"/>
    <w:next w:val="Normal"/>
    <w:link w:val="TitleChar"/>
    <w:uiPriority w:val="10"/>
    <w:qFormat/>
    <w:rsid w:val="00A36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492"/>
    <w:pPr>
      <w:spacing w:before="160"/>
      <w:jc w:val="center"/>
    </w:pPr>
    <w:rPr>
      <w:i/>
      <w:iCs/>
      <w:color w:val="404040" w:themeColor="text1" w:themeTint="BF"/>
    </w:rPr>
  </w:style>
  <w:style w:type="character" w:customStyle="1" w:styleId="QuoteChar">
    <w:name w:val="Quote Char"/>
    <w:basedOn w:val="DefaultParagraphFont"/>
    <w:link w:val="Quote"/>
    <w:uiPriority w:val="29"/>
    <w:rsid w:val="00A36492"/>
    <w:rPr>
      <w:i/>
      <w:iCs/>
      <w:color w:val="404040" w:themeColor="text1" w:themeTint="BF"/>
    </w:rPr>
  </w:style>
  <w:style w:type="paragraph" w:styleId="ListParagraph">
    <w:name w:val="List Paragraph"/>
    <w:basedOn w:val="Normal"/>
    <w:uiPriority w:val="34"/>
    <w:qFormat/>
    <w:rsid w:val="00A36492"/>
    <w:pPr>
      <w:ind w:left="720"/>
      <w:contextualSpacing/>
    </w:pPr>
  </w:style>
  <w:style w:type="character" w:styleId="IntenseEmphasis">
    <w:name w:val="Intense Emphasis"/>
    <w:basedOn w:val="DefaultParagraphFont"/>
    <w:uiPriority w:val="21"/>
    <w:qFormat/>
    <w:rsid w:val="00A36492"/>
    <w:rPr>
      <w:i/>
      <w:iCs/>
      <w:color w:val="2F5496" w:themeColor="accent1" w:themeShade="BF"/>
    </w:rPr>
  </w:style>
  <w:style w:type="paragraph" w:styleId="IntenseQuote">
    <w:name w:val="Intense Quote"/>
    <w:basedOn w:val="Normal"/>
    <w:next w:val="Normal"/>
    <w:link w:val="IntenseQuoteChar"/>
    <w:uiPriority w:val="30"/>
    <w:qFormat/>
    <w:rsid w:val="00A364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492"/>
    <w:rPr>
      <w:i/>
      <w:iCs/>
      <w:color w:val="2F5496" w:themeColor="accent1" w:themeShade="BF"/>
    </w:rPr>
  </w:style>
  <w:style w:type="character" w:styleId="IntenseReference">
    <w:name w:val="Intense Reference"/>
    <w:basedOn w:val="DefaultParagraphFont"/>
    <w:uiPriority w:val="32"/>
    <w:qFormat/>
    <w:rsid w:val="00A36492"/>
    <w:rPr>
      <w:b/>
      <w:bCs/>
      <w:smallCaps/>
      <w:color w:val="2F5496" w:themeColor="accent1" w:themeShade="BF"/>
      <w:spacing w:val="5"/>
    </w:rPr>
  </w:style>
  <w:style w:type="character" w:styleId="PlaceholderText">
    <w:name w:val="Placeholder Text"/>
    <w:basedOn w:val="DefaultParagraphFont"/>
    <w:uiPriority w:val="99"/>
    <w:semiHidden/>
    <w:rsid w:val="006404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995">
      <w:bodyDiv w:val="1"/>
      <w:marLeft w:val="0"/>
      <w:marRight w:val="0"/>
      <w:marTop w:val="0"/>
      <w:marBottom w:val="0"/>
      <w:divBdr>
        <w:top w:val="none" w:sz="0" w:space="0" w:color="auto"/>
        <w:left w:val="none" w:sz="0" w:space="0" w:color="auto"/>
        <w:bottom w:val="none" w:sz="0" w:space="0" w:color="auto"/>
        <w:right w:val="none" w:sz="0" w:space="0" w:color="auto"/>
      </w:divBdr>
      <w:divsChild>
        <w:div w:id="356082919">
          <w:marLeft w:val="640"/>
          <w:marRight w:val="0"/>
          <w:marTop w:val="0"/>
          <w:marBottom w:val="0"/>
          <w:divBdr>
            <w:top w:val="none" w:sz="0" w:space="0" w:color="auto"/>
            <w:left w:val="none" w:sz="0" w:space="0" w:color="auto"/>
            <w:bottom w:val="none" w:sz="0" w:space="0" w:color="auto"/>
            <w:right w:val="none" w:sz="0" w:space="0" w:color="auto"/>
          </w:divBdr>
        </w:div>
        <w:div w:id="759180785">
          <w:marLeft w:val="640"/>
          <w:marRight w:val="0"/>
          <w:marTop w:val="0"/>
          <w:marBottom w:val="0"/>
          <w:divBdr>
            <w:top w:val="none" w:sz="0" w:space="0" w:color="auto"/>
            <w:left w:val="none" w:sz="0" w:space="0" w:color="auto"/>
            <w:bottom w:val="none" w:sz="0" w:space="0" w:color="auto"/>
            <w:right w:val="none" w:sz="0" w:space="0" w:color="auto"/>
          </w:divBdr>
        </w:div>
        <w:div w:id="1011178161">
          <w:marLeft w:val="640"/>
          <w:marRight w:val="0"/>
          <w:marTop w:val="0"/>
          <w:marBottom w:val="0"/>
          <w:divBdr>
            <w:top w:val="none" w:sz="0" w:space="0" w:color="auto"/>
            <w:left w:val="none" w:sz="0" w:space="0" w:color="auto"/>
            <w:bottom w:val="none" w:sz="0" w:space="0" w:color="auto"/>
            <w:right w:val="none" w:sz="0" w:space="0" w:color="auto"/>
          </w:divBdr>
        </w:div>
        <w:div w:id="2063668849">
          <w:marLeft w:val="640"/>
          <w:marRight w:val="0"/>
          <w:marTop w:val="0"/>
          <w:marBottom w:val="0"/>
          <w:divBdr>
            <w:top w:val="none" w:sz="0" w:space="0" w:color="auto"/>
            <w:left w:val="none" w:sz="0" w:space="0" w:color="auto"/>
            <w:bottom w:val="none" w:sz="0" w:space="0" w:color="auto"/>
            <w:right w:val="none" w:sz="0" w:space="0" w:color="auto"/>
          </w:divBdr>
        </w:div>
        <w:div w:id="2752987">
          <w:marLeft w:val="640"/>
          <w:marRight w:val="0"/>
          <w:marTop w:val="0"/>
          <w:marBottom w:val="0"/>
          <w:divBdr>
            <w:top w:val="none" w:sz="0" w:space="0" w:color="auto"/>
            <w:left w:val="none" w:sz="0" w:space="0" w:color="auto"/>
            <w:bottom w:val="none" w:sz="0" w:space="0" w:color="auto"/>
            <w:right w:val="none" w:sz="0" w:space="0" w:color="auto"/>
          </w:divBdr>
        </w:div>
        <w:div w:id="86661811">
          <w:marLeft w:val="640"/>
          <w:marRight w:val="0"/>
          <w:marTop w:val="0"/>
          <w:marBottom w:val="0"/>
          <w:divBdr>
            <w:top w:val="none" w:sz="0" w:space="0" w:color="auto"/>
            <w:left w:val="none" w:sz="0" w:space="0" w:color="auto"/>
            <w:bottom w:val="none" w:sz="0" w:space="0" w:color="auto"/>
            <w:right w:val="none" w:sz="0" w:space="0" w:color="auto"/>
          </w:divBdr>
        </w:div>
      </w:divsChild>
    </w:div>
    <w:div w:id="85881611">
      <w:bodyDiv w:val="1"/>
      <w:marLeft w:val="0"/>
      <w:marRight w:val="0"/>
      <w:marTop w:val="0"/>
      <w:marBottom w:val="0"/>
      <w:divBdr>
        <w:top w:val="none" w:sz="0" w:space="0" w:color="auto"/>
        <w:left w:val="none" w:sz="0" w:space="0" w:color="auto"/>
        <w:bottom w:val="none" w:sz="0" w:space="0" w:color="auto"/>
        <w:right w:val="none" w:sz="0" w:space="0" w:color="auto"/>
      </w:divBdr>
      <w:divsChild>
        <w:div w:id="2076661646">
          <w:marLeft w:val="640"/>
          <w:marRight w:val="0"/>
          <w:marTop w:val="0"/>
          <w:marBottom w:val="0"/>
          <w:divBdr>
            <w:top w:val="none" w:sz="0" w:space="0" w:color="auto"/>
            <w:left w:val="none" w:sz="0" w:space="0" w:color="auto"/>
            <w:bottom w:val="none" w:sz="0" w:space="0" w:color="auto"/>
            <w:right w:val="none" w:sz="0" w:space="0" w:color="auto"/>
          </w:divBdr>
        </w:div>
        <w:div w:id="1175726609">
          <w:marLeft w:val="640"/>
          <w:marRight w:val="0"/>
          <w:marTop w:val="0"/>
          <w:marBottom w:val="0"/>
          <w:divBdr>
            <w:top w:val="none" w:sz="0" w:space="0" w:color="auto"/>
            <w:left w:val="none" w:sz="0" w:space="0" w:color="auto"/>
            <w:bottom w:val="none" w:sz="0" w:space="0" w:color="auto"/>
            <w:right w:val="none" w:sz="0" w:space="0" w:color="auto"/>
          </w:divBdr>
        </w:div>
        <w:div w:id="662851129">
          <w:marLeft w:val="640"/>
          <w:marRight w:val="0"/>
          <w:marTop w:val="0"/>
          <w:marBottom w:val="0"/>
          <w:divBdr>
            <w:top w:val="none" w:sz="0" w:space="0" w:color="auto"/>
            <w:left w:val="none" w:sz="0" w:space="0" w:color="auto"/>
            <w:bottom w:val="none" w:sz="0" w:space="0" w:color="auto"/>
            <w:right w:val="none" w:sz="0" w:space="0" w:color="auto"/>
          </w:divBdr>
        </w:div>
        <w:div w:id="464353497">
          <w:marLeft w:val="640"/>
          <w:marRight w:val="0"/>
          <w:marTop w:val="0"/>
          <w:marBottom w:val="0"/>
          <w:divBdr>
            <w:top w:val="none" w:sz="0" w:space="0" w:color="auto"/>
            <w:left w:val="none" w:sz="0" w:space="0" w:color="auto"/>
            <w:bottom w:val="none" w:sz="0" w:space="0" w:color="auto"/>
            <w:right w:val="none" w:sz="0" w:space="0" w:color="auto"/>
          </w:divBdr>
        </w:div>
        <w:div w:id="376709169">
          <w:marLeft w:val="640"/>
          <w:marRight w:val="0"/>
          <w:marTop w:val="0"/>
          <w:marBottom w:val="0"/>
          <w:divBdr>
            <w:top w:val="none" w:sz="0" w:space="0" w:color="auto"/>
            <w:left w:val="none" w:sz="0" w:space="0" w:color="auto"/>
            <w:bottom w:val="none" w:sz="0" w:space="0" w:color="auto"/>
            <w:right w:val="none" w:sz="0" w:space="0" w:color="auto"/>
          </w:divBdr>
        </w:div>
        <w:div w:id="15422750">
          <w:marLeft w:val="640"/>
          <w:marRight w:val="0"/>
          <w:marTop w:val="0"/>
          <w:marBottom w:val="0"/>
          <w:divBdr>
            <w:top w:val="none" w:sz="0" w:space="0" w:color="auto"/>
            <w:left w:val="none" w:sz="0" w:space="0" w:color="auto"/>
            <w:bottom w:val="none" w:sz="0" w:space="0" w:color="auto"/>
            <w:right w:val="none" w:sz="0" w:space="0" w:color="auto"/>
          </w:divBdr>
        </w:div>
      </w:divsChild>
    </w:div>
    <w:div w:id="33071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3904">
          <w:marLeft w:val="640"/>
          <w:marRight w:val="0"/>
          <w:marTop w:val="0"/>
          <w:marBottom w:val="0"/>
          <w:divBdr>
            <w:top w:val="none" w:sz="0" w:space="0" w:color="auto"/>
            <w:left w:val="none" w:sz="0" w:space="0" w:color="auto"/>
            <w:bottom w:val="none" w:sz="0" w:space="0" w:color="auto"/>
            <w:right w:val="none" w:sz="0" w:space="0" w:color="auto"/>
          </w:divBdr>
        </w:div>
        <w:div w:id="1539707908">
          <w:marLeft w:val="640"/>
          <w:marRight w:val="0"/>
          <w:marTop w:val="0"/>
          <w:marBottom w:val="0"/>
          <w:divBdr>
            <w:top w:val="none" w:sz="0" w:space="0" w:color="auto"/>
            <w:left w:val="none" w:sz="0" w:space="0" w:color="auto"/>
            <w:bottom w:val="none" w:sz="0" w:space="0" w:color="auto"/>
            <w:right w:val="none" w:sz="0" w:space="0" w:color="auto"/>
          </w:divBdr>
        </w:div>
        <w:div w:id="426923440">
          <w:marLeft w:val="640"/>
          <w:marRight w:val="0"/>
          <w:marTop w:val="0"/>
          <w:marBottom w:val="0"/>
          <w:divBdr>
            <w:top w:val="none" w:sz="0" w:space="0" w:color="auto"/>
            <w:left w:val="none" w:sz="0" w:space="0" w:color="auto"/>
            <w:bottom w:val="none" w:sz="0" w:space="0" w:color="auto"/>
            <w:right w:val="none" w:sz="0" w:space="0" w:color="auto"/>
          </w:divBdr>
        </w:div>
        <w:div w:id="188490374">
          <w:marLeft w:val="640"/>
          <w:marRight w:val="0"/>
          <w:marTop w:val="0"/>
          <w:marBottom w:val="0"/>
          <w:divBdr>
            <w:top w:val="none" w:sz="0" w:space="0" w:color="auto"/>
            <w:left w:val="none" w:sz="0" w:space="0" w:color="auto"/>
            <w:bottom w:val="none" w:sz="0" w:space="0" w:color="auto"/>
            <w:right w:val="none" w:sz="0" w:space="0" w:color="auto"/>
          </w:divBdr>
        </w:div>
        <w:div w:id="597909388">
          <w:marLeft w:val="640"/>
          <w:marRight w:val="0"/>
          <w:marTop w:val="0"/>
          <w:marBottom w:val="0"/>
          <w:divBdr>
            <w:top w:val="none" w:sz="0" w:space="0" w:color="auto"/>
            <w:left w:val="none" w:sz="0" w:space="0" w:color="auto"/>
            <w:bottom w:val="none" w:sz="0" w:space="0" w:color="auto"/>
            <w:right w:val="none" w:sz="0" w:space="0" w:color="auto"/>
          </w:divBdr>
        </w:div>
        <w:div w:id="2124763543">
          <w:marLeft w:val="640"/>
          <w:marRight w:val="0"/>
          <w:marTop w:val="0"/>
          <w:marBottom w:val="0"/>
          <w:divBdr>
            <w:top w:val="none" w:sz="0" w:space="0" w:color="auto"/>
            <w:left w:val="none" w:sz="0" w:space="0" w:color="auto"/>
            <w:bottom w:val="none" w:sz="0" w:space="0" w:color="auto"/>
            <w:right w:val="none" w:sz="0" w:space="0" w:color="auto"/>
          </w:divBdr>
        </w:div>
        <w:div w:id="679893530">
          <w:marLeft w:val="640"/>
          <w:marRight w:val="0"/>
          <w:marTop w:val="0"/>
          <w:marBottom w:val="0"/>
          <w:divBdr>
            <w:top w:val="none" w:sz="0" w:space="0" w:color="auto"/>
            <w:left w:val="none" w:sz="0" w:space="0" w:color="auto"/>
            <w:bottom w:val="none" w:sz="0" w:space="0" w:color="auto"/>
            <w:right w:val="none" w:sz="0" w:space="0" w:color="auto"/>
          </w:divBdr>
        </w:div>
        <w:div w:id="846208998">
          <w:marLeft w:val="640"/>
          <w:marRight w:val="0"/>
          <w:marTop w:val="0"/>
          <w:marBottom w:val="0"/>
          <w:divBdr>
            <w:top w:val="none" w:sz="0" w:space="0" w:color="auto"/>
            <w:left w:val="none" w:sz="0" w:space="0" w:color="auto"/>
            <w:bottom w:val="none" w:sz="0" w:space="0" w:color="auto"/>
            <w:right w:val="none" w:sz="0" w:space="0" w:color="auto"/>
          </w:divBdr>
        </w:div>
      </w:divsChild>
    </w:div>
    <w:div w:id="479225370">
      <w:bodyDiv w:val="1"/>
      <w:marLeft w:val="0"/>
      <w:marRight w:val="0"/>
      <w:marTop w:val="0"/>
      <w:marBottom w:val="0"/>
      <w:divBdr>
        <w:top w:val="none" w:sz="0" w:space="0" w:color="auto"/>
        <w:left w:val="none" w:sz="0" w:space="0" w:color="auto"/>
        <w:bottom w:val="none" w:sz="0" w:space="0" w:color="auto"/>
        <w:right w:val="none" w:sz="0" w:space="0" w:color="auto"/>
      </w:divBdr>
      <w:divsChild>
        <w:div w:id="1833639717">
          <w:marLeft w:val="640"/>
          <w:marRight w:val="0"/>
          <w:marTop w:val="0"/>
          <w:marBottom w:val="0"/>
          <w:divBdr>
            <w:top w:val="none" w:sz="0" w:space="0" w:color="auto"/>
            <w:left w:val="none" w:sz="0" w:space="0" w:color="auto"/>
            <w:bottom w:val="none" w:sz="0" w:space="0" w:color="auto"/>
            <w:right w:val="none" w:sz="0" w:space="0" w:color="auto"/>
          </w:divBdr>
        </w:div>
        <w:div w:id="160048084">
          <w:marLeft w:val="640"/>
          <w:marRight w:val="0"/>
          <w:marTop w:val="0"/>
          <w:marBottom w:val="0"/>
          <w:divBdr>
            <w:top w:val="none" w:sz="0" w:space="0" w:color="auto"/>
            <w:left w:val="none" w:sz="0" w:space="0" w:color="auto"/>
            <w:bottom w:val="none" w:sz="0" w:space="0" w:color="auto"/>
            <w:right w:val="none" w:sz="0" w:space="0" w:color="auto"/>
          </w:divBdr>
        </w:div>
        <w:div w:id="330723585">
          <w:marLeft w:val="640"/>
          <w:marRight w:val="0"/>
          <w:marTop w:val="0"/>
          <w:marBottom w:val="0"/>
          <w:divBdr>
            <w:top w:val="none" w:sz="0" w:space="0" w:color="auto"/>
            <w:left w:val="none" w:sz="0" w:space="0" w:color="auto"/>
            <w:bottom w:val="none" w:sz="0" w:space="0" w:color="auto"/>
            <w:right w:val="none" w:sz="0" w:space="0" w:color="auto"/>
          </w:divBdr>
        </w:div>
        <w:div w:id="1248030626">
          <w:marLeft w:val="640"/>
          <w:marRight w:val="0"/>
          <w:marTop w:val="0"/>
          <w:marBottom w:val="0"/>
          <w:divBdr>
            <w:top w:val="none" w:sz="0" w:space="0" w:color="auto"/>
            <w:left w:val="none" w:sz="0" w:space="0" w:color="auto"/>
            <w:bottom w:val="none" w:sz="0" w:space="0" w:color="auto"/>
            <w:right w:val="none" w:sz="0" w:space="0" w:color="auto"/>
          </w:divBdr>
        </w:div>
        <w:div w:id="1049233064">
          <w:marLeft w:val="640"/>
          <w:marRight w:val="0"/>
          <w:marTop w:val="0"/>
          <w:marBottom w:val="0"/>
          <w:divBdr>
            <w:top w:val="none" w:sz="0" w:space="0" w:color="auto"/>
            <w:left w:val="none" w:sz="0" w:space="0" w:color="auto"/>
            <w:bottom w:val="none" w:sz="0" w:space="0" w:color="auto"/>
            <w:right w:val="none" w:sz="0" w:space="0" w:color="auto"/>
          </w:divBdr>
        </w:div>
        <w:div w:id="1587418193">
          <w:marLeft w:val="640"/>
          <w:marRight w:val="0"/>
          <w:marTop w:val="0"/>
          <w:marBottom w:val="0"/>
          <w:divBdr>
            <w:top w:val="none" w:sz="0" w:space="0" w:color="auto"/>
            <w:left w:val="none" w:sz="0" w:space="0" w:color="auto"/>
            <w:bottom w:val="none" w:sz="0" w:space="0" w:color="auto"/>
            <w:right w:val="none" w:sz="0" w:space="0" w:color="auto"/>
          </w:divBdr>
        </w:div>
        <w:div w:id="422653014">
          <w:marLeft w:val="640"/>
          <w:marRight w:val="0"/>
          <w:marTop w:val="0"/>
          <w:marBottom w:val="0"/>
          <w:divBdr>
            <w:top w:val="none" w:sz="0" w:space="0" w:color="auto"/>
            <w:left w:val="none" w:sz="0" w:space="0" w:color="auto"/>
            <w:bottom w:val="none" w:sz="0" w:space="0" w:color="auto"/>
            <w:right w:val="none" w:sz="0" w:space="0" w:color="auto"/>
          </w:divBdr>
        </w:div>
        <w:div w:id="243728987">
          <w:marLeft w:val="640"/>
          <w:marRight w:val="0"/>
          <w:marTop w:val="0"/>
          <w:marBottom w:val="0"/>
          <w:divBdr>
            <w:top w:val="none" w:sz="0" w:space="0" w:color="auto"/>
            <w:left w:val="none" w:sz="0" w:space="0" w:color="auto"/>
            <w:bottom w:val="none" w:sz="0" w:space="0" w:color="auto"/>
            <w:right w:val="none" w:sz="0" w:space="0" w:color="auto"/>
          </w:divBdr>
        </w:div>
      </w:divsChild>
    </w:div>
    <w:div w:id="537350750">
      <w:bodyDiv w:val="1"/>
      <w:marLeft w:val="0"/>
      <w:marRight w:val="0"/>
      <w:marTop w:val="0"/>
      <w:marBottom w:val="0"/>
      <w:divBdr>
        <w:top w:val="none" w:sz="0" w:space="0" w:color="auto"/>
        <w:left w:val="none" w:sz="0" w:space="0" w:color="auto"/>
        <w:bottom w:val="none" w:sz="0" w:space="0" w:color="auto"/>
        <w:right w:val="none" w:sz="0" w:space="0" w:color="auto"/>
      </w:divBdr>
      <w:divsChild>
        <w:div w:id="812062166">
          <w:marLeft w:val="640"/>
          <w:marRight w:val="0"/>
          <w:marTop w:val="0"/>
          <w:marBottom w:val="0"/>
          <w:divBdr>
            <w:top w:val="none" w:sz="0" w:space="0" w:color="auto"/>
            <w:left w:val="none" w:sz="0" w:space="0" w:color="auto"/>
            <w:bottom w:val="none" w:sz="0" w:space="0" w:color="auto"/>
            <w:right w:val="none" w:sz="0" w:space="0" w:color="auto"/>
          </w:divBdr>
        </w:div>
        <w:div w:id="1835729939">
          <w:marLeft w:val="640"/>
          <w:marRight w:val="0"/>
          <w:marTop w:val="0"/>
          <w:marBottom w:val="0"/>
          <w:divBdr>
            <w:top w:val="none" w:sz="0" w:space="0" w:color="auto"/>
            <w:left w:val="none" w:sz="0" w:space="0" w:color="auto"/>
            <w:bottom w:val="none" w:sz="0" w:space="0" w:color="auto"/>
            <w:right w:val="none" w:sz="0" w:space="0" w:color="auto"/>
          </w:divBdr>
        </w:div>
        <w:div w:id="789513798">
          <w:marLeft w:val="640"/>
          <w:marRight w:val="0"/>
          <w:marTop w:val="0"/>
          <w:marBottom w:val="0"/>
          <w:divBdr>
            <w:top w:val="none" w:sz="0" w:space="0" w:color="auto"/>
            <w:left w:val="none" w:sz="0" w:space="0" w:color="auto"/>
            <w:bottom w:val="none" w:sz="0" w:space="0" w:color="auto"/>
            <w:right w:val="none" w:sz="0" w:space="0" w:color="auto"/>
          </w:divBdr>
        </w:div>
        <w:div w:id="1563060934">
          <w:marLeft w:val="640"/>
          <w:marRight w:val="0"/>
          <w:marTop w:val="0"/>
          <w:marBottom w:val="0"/>
          <w:divBdr>
            <w:top w:val="none" w:sz="0" w:space="0" w:color="auto"/>
            <w:left w:val="none" w:sz="0" w:space="0" w:color="auto"/>
            <w:bottom w:val="none" w:sz="0" w:space="0" w:color="auto"/>
            <w:right w:val="none" w:sz="0" w:space="0" w:color="auto"/>
          </w:divBdr>
        </w:div>
        <w:div w:id="1460294680">
          <w:marLeft w:val="640"/>
          <w:marRight w:val="0"/>
          <w:marTop w:val="0"/>
          <w:marBottom w:val="0"/>
          <w:divBdr>
            <w:top w:val="none" w:sz="0" w:space="0" w:color="auto"/>
            <w:left w:val="none" w:sz="0" w:space="0" w:color="auto"/>
            <w:bottom w:val="none" w:sz="0" w:space="0" w:color="auto"/>
            <w:right w:val="none" w:sz="0" w:space="0" w:color="auto"/>
          </w:divBdr>
        </w:div>
        <w:div w:id="691761734">
          <w:marLeft w:val="640"/>
          <w:marRight w:val="0"/>
          <w:marTop w:val="0"/>
          <w:marBottom w:val="0"/>
          <w:divBdr>
            <w:top w:val="none" w:sz="0" w:space="0" w:color="auto"/>
            <w:left w:val="none" w:sz="0" w:space="0" w:color="auto"/>
            <w:bottom w:val="none" w:sz="0" w:space="0" w:color="auto"/>
            <w:right w:val="none" w:sz="0" w:space="0" w:color="auto"/>
          </w:divBdr>
        </w:div>
        <w:div w:id="1326202256">
          <w:marLeft w:val="640"/>
          <w:marRight w:val="0"/>
          <w:marTop w:val="0"/>
          <w:marBottom w:val="0"/>
          <w:divBdr>
            <w:top w:val="none" w:sz="0" w:space="0" w:color="auto"/>
            <w:left w:val="none" w:sz="0" w:space="0" w:color="auto"/>
            <w:bottom w:val="none" w:sz="0" w:space="0" w:color="auto"/>
            <w:right w:val="none" w:sz="0" w:space="0" w:color="auto"/>
          </w:divBdr>
        </w:div>
        <w:div w:id="1783116">
          <w:marLeft w:val="640"/>
          <w:marRight w:val="0"/>
          <w:marTop w:val="0"/>
          <w:marBottom w:val="0"/>
          <w:divBdr>
            <w:top w:val="none" w:sz="0" w:space="0" w:color="auto"/>
            <w:left w:val="none" w:sz="0" w:space="0" w:color="auto"/>
            <w:bottom w:val="none" w:sz="0" w:space="0" w:color="auto"/>
            <w:right w:val="none" w:sz="0" w:space="0" w:color="auto"/>
          </w:divBdr>
        </w:div>
      </w:divsChild>
    </w:div>
    <w:div w:id="1189904254">
      <w:bodyDiv w:val="1"/>
      <w:marLeft w:val="0"/>
      <w:marRight w:val="0"/>
      <w:marTop w:val="0"/>
      <w:marBottom w:val="0"/>
      <w:divBdr>
        <w:top w:val="none" w:sz="0" w:space="0" w:color="auto"/>
        <w:left w:val="none" w:sz="0" w:space="0" w:color="auto"/>
        <w:bottom w:val="none" w:sz="0" w:space="0" w:color="auto"/>
        <w:right w:val="none" w:sz="0" w:space="0" w:color="auto"/>
      </w:divBdr>
      <w:divsChild>
        <w:div w:id="959802554">
          <w:marLeft w:val="640"/>
          <w:marRight w:val="0"/>
          <w:marTop w:val="0"/>
          <w:marBottom w:val="0"/>
          <w:divBdr>
            <w:top w:val="none" w:sz="0" w:space="0" w:color="auto"/>
            <w:left w:val="none" w:sz="0" w:space="0" w:color="auto"/>
            <w:bottom w:val="none" w:sz="0" w:space="0" w:color="auto"/>
            <w:right w:val="none" w:sz="0" w:space="0" w:color="auto"/>
          </w:divBdr>
        </w:div>
        <w:div w:id="1367606984">
          <w:marLeft w:val="640"/>
          <w:marRight w:val="0"/>
          <w:marTop w:val="0"/>
          <w:marBottom w:val="0"/>
          <w:divBdr>
            <w:top w:val="none" w:sz="0" w:space="0" w:color="auto"/>
            <w:left w:val="none" w:sz="0" w:space="0" w:color="auto"/>
            <w:bottom w:val="none" w:sz="0" w:space="0" w:color="auto"/>
            <w:right w:val="none" w:sz="0" w:space="0" w:color="auto"/>
          </w:divBdr>
        </w:div>
        <w:div w:id="1575971744">
          <w:marLeft w:val="640"/>
          <w:marRight w:val="0"/>
          <w:marTop w:val="0"/>
          <w:marBottom w:val="0"/>
          <w:divBdr>
            <w:top w:val="none" w:sz="0" w:space="0" w:color="auto"/>
            <w:left w:val="none" w:sz="0" w:space="0" w:color="auto"/>
            <w:bottom w:val="none" w:sz="0" w:space="0" w:color="auto"/>
            <w:right w:val="none" w:sz="0" w:space="0" w:color="auto"/>
          </w:divBdr>
        </w:div>
        <w:div w:id="604775697">
          <w:marLeft w:val="640"/>
          <w:marRight w:val="0"/>
          <w:marTop w:val="0"/>
          <w:marBottom w:val="0"/>
          <w:divBdr>
            <w:top w:val="none" w:sz="0" w:space="0" w:color="auto"/>
            <w:left w:val="none" w:sz="0" w:space="0" w:color="auto"/>
            <w:bottom w:val="none" w:sz="0" w:space="0" w:color="auto"/>
            <w:right w:val="none" w:sz="0" w:space="0" w:color="auto"/>
          </w:divBdr>
        </w:div>
        <w:div w:id="1323701458">
          <w:marLeft w:val="640"/>
          <w:marRight w:val="0"/>
          <w:marTop w:val="0"/>
          <w:marBottom w:val="0"/>
          <w:divBdr>
            <w:top w:val="none" w:sz="0" w:space="0" w:color="auto"/>
            <w:left w:val="none" w:sz="0" w:space="0" w:color="auto"/>
            <w:bottom w:val="none" w:sz="0" w:space="0" w:color="auto"/>
            <w:right w:val="none" w:sz="0" w:space="0" w:color="auto"/>
          </w:divBdr>
        </w:div>
        <w:div w:id="1502425487">
          <w:marLeft w:val="640"/>
          <w:marRight w:val="0"/>
          <w:marTop w:val="0"/>
          <w:marBottom w:val="0"/>
          <w:divBdr>
            <w:top w:val="none" w:sz="0" w:space="0" w:color="auto"/>
            <w:left w:val="none" w:sz="0" w:space="0" w:color="auto"/>
            <w:bottom w:val="none" w:sz="0" w:space="0" w:color="auto"/>
            <w:right w:val="none" w:sz="0" w:space="0" w:color="auto"/>
          </w:divBdr>
        </w:div>
      </w:divsChild>
    </w:div>
    <w:div w:id="1216894606">
      <w:bodyDiv w:val="1"/>
      <w:marLeft w:val="0"/>
      <w:marRight w:val="0"/>
      <w:marTop w:val="0"/>
      <w:marBottom w:val="0"/>
      <w:divBdr>
        <w:top w:val="none" w:sz="0" w:space="0" w:color="auto"/>
        <w:left w:val="none" w:sz="0" w:space="0" w:color="auto"/>
        <w:bottom w:val="none" w:sz="0" w:space="0" w:color="auto"/>
        <w:right w:val="none" w:sz="0" w:space="0" w:color="auto"/>
      </w:divBdr>
      <w:divsChild>
        <w:div w:id="2097706991">
          <w:marLeft w:val="640"/>
          <w:marRight w:val="0"/>
          <w:marTop w:val="0"/>
          <w:marBottom w:val="0"/>
          <w:divBdr>
            <w:top w:val="none" w:sz="0" w:space="0" w:color="auto"/>
            <w:left w:val="none" w:sz="0" w:space="0" w:color="auto"/>
            <w:bottom w:val="none" w:sz="0" w:space="0" w:color="auto"/>
            <w:right w:val="none" w:sz="0" w:space="0" w:color="auto"/>
          </w:divBdr>
        </w:div>
        <w:div w:id="1426881348">
          <w:marLeft w:val="640"/>
          <w:marRight w:val="0"/>
          <w:marTop w:val="0"/>
          <w:marBottom w:val="0"/>
          <w:divBdr>
            <w:top w:val="none" w:sz="0" w:space="0" w:color="auto"/>
            <w:left w:val="none" w:sz="0" w:space="0" w:color="auto"/>
            <w:bottom w:val="none" w:sz="0" w:space="0" w:color="auto"/>
            <w:right w:val="none" w:sz="0" w:space="0" w:color="auto"/>
          </w:divBdr>
        </w:div>
        <w:div w:id="1558197991">
          <w:marLeft w:val="640"/>
          <w:marRight w:val="0"/>
          <w:marTop w:val="0"/>
          <w:marBottom w:val="0"/>
          <w:divBdr>
            <w:top w:val="none" w:sz="0" w:space="0" w:color="auto"/>
            <w:left w:val="none" w:sz="0" w:space="0" w:color="auto"/>
            <w:bottom w:val="none" w:sz="0" w:space="0" w:color="auto"/>
            <w:right w:val="none" w:sz="0" w:space="0" w:color="auto"/>
          </w:divBdr>
        </w:div>
        <w:div w:id="1617373219">
          <w:marLeft w:val="640"/>
          <w:marRight w:val="0"/>
          <w:marTop w:val="0"/>
          <w:marBottom w:val="0"/>
          <w:divBdr>
            <w:top w:val="none" w:sz="0" w:space="0" w:color="auto"/>
            <w:left w:val="none" w:sz="0" w:space="0" w:color="auto"/>
            <w:bottom w:val="none" w:sz="0" w:space="0" w:color="auto"/>
            <w:right w:val="none" w:sz="0" w:space="0" w:color="auto"/>
          </w:divBdr>
        </w:div>
        <w:div w:id="853803551">
          <w:marLeft w:val="640"/>
          <w:marRight w:val="0"/>
          <w:marTop w:val="0"/>
          <w:marBottom w:val="0"/>
          <w:divBdr>
            <w:top w:val="none" w:sz="0" w:space="0" w:color="auto"/>
            <w:left w:val="none" w:sz="0" w:space="0" w:color="auto"/>
            <w:bottom w:val="none" w:sz="0" w:space="0" w:color="auto"/>
            <w:right w:val="none" w:sz="0" w:space="0" w:color="auto"/>
          </w:divBdr>
        </w:div>
        <w:div w:id="1502888613">
          <w:marLeft w:val="640"/>
          <w:marRight w:val="0"/>
          <w:marTop w:val="0"/>
          <w:marBottom w:val="0"/>
          <w:divBdr>
            <w:top w:val="none" w:sz="0" w:space="0" w:color="auto"/>
            <w:left w:val="none" w:sz="0" w:space="0" w:color="auto"/>
            <w:bottom w:val="none" w:sz="0" w:space="0" w:color="auto"/>
            <w:right w:val="none" w:sz="0" w:space="0" w:color="auto"/>
          </w:divBdr>
        </w:div>
      </w:divsChild>
    </w:div>
    <w:div w:id="1616593462">
      <w:bodyDiv w:val="1"/>
      <w:marLeft w:val="0"/>
      <w:marRight w:val="0"/>
      <w:marTop w:val="0"/>
      <w:marBottom w:val="0"/>
      <w:divBdr>
        <w:top w:val="none" w:sz="0" w:space="0" w:color="auto"/>
        <w:left w:val="none" w:sz="0" w:space="0" w:color="auto"/>
        <w:bottom w:val="none" w:sz="0" w:space="0" w:color="auto"/>
        <w:right w:val="none" w:sz="0" w:space="0" w:color="auto"/>
      </w:divBdr>
      <w:divsChild>
        <w:div w:id="1400252816">
          <w:marLeft w:val="640"/>
          <w:marRight w:val="0"/>
          <w:marTop w:val="0"/>
          <w:marBottom w:val="0"/>
          <w:divBdr>
            <w:top w:val="none" w:sz="0" w:space="0" w:color="auto"/>
            <w:left w:val="none" w:sz="0" w:space="0" w:color="auto"/>
            <w:bottom w:val="none" w:sz="0" w:space="0" w:color="auto"/>
            <w:right w:val="none" w:sz="0" w:space="0" w:color="auto"/>
          </w:divBdr>
        </w:div>
        <w:div w:id="71700034">
          <w:marLeft w:val="640"/>
          <w:marRight w:val="0"/>
          <w:marTop w:val="0"/>
          <w:marBottom w:val="0"/>
          <w:divBdr>
            <w:top w:val="none" w:sz="0" w:space="0" w:color="auto"/>
            <w:left w:val="none" w:sz="0" w:space="0" w:color="auto"/>
            <w:bottom w:val="none" w:sz="0" w:space="0" w:color="auto"/>
            <w:right w:val="none" w:sz="0" w:space="0" w:color="auto"/>
          </w:divBdr>
        </w:div>
        <w:div w:id="1076171718">
          <w:marLeft w:val="640"/>
          <w:marRight w:val="0"/>
          <w:marTop w:val="0"/>
          <w:marBottom w:val="0"/>
          <w:divBdr>
            <w:top w:val="none" w:sz="0" w:space="0" w:color="auto"/>
            <w:left w:val="none" w:sz="0" w:space="0" w:color="auto"/>
            <w:bottom w:val="none" w:sz="0" w:space="0" w:color="auto"/>
            <w:right w:val="none" w:sz="0" w:space="0" w:color="auto"/>
          </w:divBdr>
        </w:div>
        <w:div w:id="986130000">
          <w:marLeft w:val="640"/>
          <w:marRight w:val="0"/>
          <w:marTop w:val="0"/>
          <w:marBottom w:val="0"/>
          <w:divBdr>
            <w:top w:val="none" w:sz="0" w:space="0" w:color="auto"/>
            <w:left w:val="none" w:sz="0" w:space="0" w:color="auto"/>
            <w:bottom w:val="none" w:sz="0" w:space="0" w:color="auto"/>
            <w:right w:val="none" w:sz="0" w:space="0" w:color="auto"/>
          </w:divBdr>
        </w:div>
        <w:div w:id="198014476">
          <w:marLeft w:val="640"/>
          <w:marRight w:val="0"/>
          <w:marTop w:val="0"/>
          <w:marBottom w:val="0"/>
          <w:divBdr>
            <w:top w:val="none" w:sz="0" w:space="0" w:color="auto"/>
            <w:left w:val="none" w:sz="0" w:space="0" w:color="auto"/>
            <w:bottom w:val="none" w:sz="0" w:space="0" w:color="auto"/>
            <w:right w:val="none" w:sz="0" w:space="0" w:color="auto"/>
          </w:divBdr>
        </w:div>
        <w:div w:id="2087192136">
          <w:marLeft w:val="640"/>
          <w:marRight w:val="0"/>
          <w:marTop w:val="0"/>
          <w:marBottom w:val="0"/>
          <w:divBdr>
            <w:top w:val="none" w:sz="0" w:space="0" w:color="auto"/>
            <w:left w:val="none" w:sz="0" w:space="0" w:color="auto"/>
            <w:bottom w:val="none" w:sz="0" w:space="0" w:color="auto"/>
            <w:right w:val="none" w:sz="0" w:space="0" w:color="auto"/>
          </w:divBdr>
        </w:div>
        <w:div w:id="431440362">
          <w:marLeft w:val="640"/>
          <w:marRight w:val="0"/>
          <w:marTop w:val="0"/>
          <w:marBottom w:val="0"/>
          <w:divBdr>
            <w:top w:val="none" w:sz="0" w:space="0" w:color="auto"/>
            <w:left w:val="none" w:sz="0" w:space="0" w:color="auto"/>
            <w:bottom w:val="none" w:sz="0" w:space="0" w:color="auto"/>
            <w:right w:val="none" w:sz="0" w:space="0" w:color="auto"/>
          </w:divBdr>
        </w:div>
        <w:div w:id="786312104">
          <w:marLeft w:val="640"/>
          <w:marRight w:val="0"/>
          <w:marTop w:val="0"/>
          <w:marBottom w:val="0"/>
          <w:divBdr>
            <w:top w:val="none" w:sz="0" w:space="0" w:color="auto"/>
            <w:left w:val="none" w:sz="0" w:space="0" w:color="auto"/>
            <w:bottom w:val="none" w:sz="0" w:space="0" w:color="auto"/>
            <w:right w:val="none" w:sz="0" w:space="0" w:color="auto"/>
          </w:divBdr>
        </w:div>
      </w:divsChild>
    </w:div>
    <w:div w:id="1712606926">
      <w:bodyDiv w:val="1"/>
      <w:marLeft w:val="0"/>
      <w:marRight w:val="0"/>
      <w:marTop w:val="0"/>
      <w:marBottom w:val="0"/>
      <w:divBdr>
        <w:top w:val="none" w:sz="0" w:space="0" w:color="auto"/>
        <w:left w:val="none" w:sz="0" w:space="0" w:color="auto"/>
        <w:bottom w:val="none" w:sz="0" w:space="0" w:color="auto"/>
        <w:right w:val="none" w:sz="0" w:space="0" w:color="auto"/>
      </w:divBdr>
      <w:divsChild>
        <w:div w:id="1111705956">
          <w:marLeft w:val="640"/>
          <w:marRight w:val="0"/>
          <w:marTop w:val="0"/>
          <w:marBottom w:val="0"/>
          <w:divBdr>
            <w:top w:val="none" w:sz="0" w:space="0" w:color="auto"/>
            <w:left w:val="none" w:sz="0" w:space="0" w:color="auto"/>
            <w:bottom w:val="none" w:sz="0" w:space="0" w:color="auto"/>
            <w:right w:val="none" w:sz="0" w:space="0" w:color="auto"/>
          </w:divBdr>
        </w:div>
        <w:div w:id="263270500">
          <w:marLeft w:val="640"/>
          <w:marRight w:val="0"/>
          <w:marTop w:val="0"/>
          <w:marBottom w:val="0"/>
          <w:divBdr>
            <w:top w:val="none" w:sz="0" w:space="0" w:color="auto"/>
            <w:left w:val="none" w:sz="0" w:space="0" w:color="auto"/>
            <w:bottom w:val="none" w:sz="0" w:space="0" w:color="auto"/>
            <w:right w:val="none" w:sz="0" w:space="0" w:color="auto"/>
          </w:divBdr>
        </w:div>
        <w:div w:id="1571502529">
          <w:marLeft w:val="640"/>
          <w:marRight w:val="0"/>
          <w:marTop w:val="0"/>
          <w:marBottom w:val="0"/>
          <w:divBdr>
            <w:top w:val="none" w:sz="0" w:space="0" w:color="auto"/>
            <w:left w:val="none" w:sz="0" w:space="0" w:color="auto"/>
            <w:bottom w:val="none" w:sz="0" w:space="0" w:color="auto"/>
            <w:right w:val="none" w:sz="0" w:space="0" w:color="auto"/>
          </w:divBdr>
        </w:div>
        <w:div w:id="1063217603">
          <w:marLeft w:val="640"/>
          <w:marRight w:val="0"/>
          <w:marTop w:val="0"/>
          <w:marBottom w:val="0"/>
          <w:divBdr>
            <w:top w:val="none" w:sz="0" w:space="0" w:color="auto"/>
            <w:left w:val="none" w:sz="0" w:space="0" w:color="auto"/>
            <w:bottom w:val="none" w:sz="0" w:space="0" w:color="auto"/>
            <w:right w:val="none" w:sz="0" w:space="0" w:color="auto"/>
          </w:divBdr>
        </w:div>
        <w:div w:id="31345698">
          <w:marLeft w:val="640"/>
          <w:marRight w:val="0"/>
          <w:marTop w:val="0"/>
          <w:marBottom w:val="0"/>
          <w:divBdr>
            <w:top w:val="none" w:sz="0" w:space="0" w:color="auto"/>
            <w:left w:val="none" w:sz="0" w:space="0" w:color="auto"/>
            <w:bottom w:val="none" w:sz="0" w:space="0" w:color="auto"/>
            <w:right w:val="none" w:sz="0" w:space="0" w:color="auto"/>
          </w:divBdr>
        </w:div>
        <w:div w:id="1329136882">
          <w:marLeft w:val="640"/>
          <w:marRight w:val="0"/>
          <w:marTop w:val="0"/>
          <w:marBottom w:val="0"/>
          <w:divBdr>
            <w:top w:val="none" w:sz="0" w:space="0" w:color="auto"/>
            <w:left w:val="none" w:sz="0" w:space="0" w:color="auto"/>
            <w:bottom w:val="none" w:sz="0" w:space="0" w:color="auto"/>
            <w:right w:val="none" w:sz="0" w:space="0" w:color="auto"/>
          </w:divBdr>
        </w:div>
        <w:div w:id="1764296785">
          <w:marLeft w:val="640"/>
          <w:marRight w:val="0"/>
          <w:marTop w:val="0"/>
          <w:marBottom w:val="0"/>
          <w:divBdr>
            <w:top w:val="none" w:sz="0" w:space="0" w:color="auto"/>
            <w:left w:val="none" w:sz="0" w:space="0" w:color="auto"/>
            <w:bottom w:val="none" w:sz="0" w:space="0" w:color="auto"/>
            <w:right w:val="none" w:sz="0" w:space="0" w:color="auto"/>
          </w:divBdr>
        </w:div>
        <w:div w:id="873085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7EF370C-1995-4022-9D59-EFC1FB0CE62E}"/>
      </w:docPartPr>
      <w:docPartBody>
        <w:p w:rsidR="00A04B1A" w:rsidRDefault="003B5169">
          <w:r w:rsidRPr="0070340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69"/>
    <w:rsid w:val="00263773"/>
    <w:rsid w:val="003B5169"/>
    <w:rsid w:val="0088609F"/>
    <w:rsid w:val="00A04B1A"/>
    <w:rsid w:val="00B9731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G" w:eastAsia="en-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16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FB7ACB-78C2-4617-896A-7CA46FE1EDB0}">
  <we:reference id="wa104382081" version="1.55.1.0" store="en-US" storeType="OMEX"/>
  <we:alternateReferences>
    <we:reference id="WA104382081" version="1.55.1.0" store="" storeType="OMEX"/>
  </we:alternateReferences>
  <we:properties>
    <we:property name="MENDELEY_CITATIONS" value="[{&quot;citationID&quot;:&quot;MENDELEY_CITATION_2600a38a-0b69-40d1-bc2d-79ff8f6fc45e&quot;,&quot;properties&quot;:{&quot;noteIndex&quot;:0},&quot;isEdited&quot;:false,&quot;manualOverride&quot;:{&quot;isManuallyOverridden&quot;:false,&quot;citeprocText&quot;:&quot;[1]&quot;,&quot;manualOverrideText&quot;:&quot;&quot;},&quot;citationTag&quot;:&quot;MENDELEY_CITATION_v3_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&quot;,&quot;citationItems&quot;:[{&quot;id&quot;:&quot;ec26211b-1904-3188-823a-94dcdd2e0519&quot;,&quot;itemData&quot;:{&quot;type&quot;:&quot;article-journal&quot;,&quot;id&quot;:&quot;ec26211b-1904-3188-823a-94dcdd2e0519&quot;,&quot;title&quot;:&quot;Prevalence and correlates of depression among Thai university students: nationwide study&quot;,&quot;author&quot;:[{&quot;family&quot;:&quot;Liangruenrom&quot;,&quot;given&quot;:&quot;Nucharapon&quot;,&quot;parse-names&quot;:false,&quot;dropping-particle&quot;:&quot;&quot;,&quot;non-dropping-particle&quot;:&quot;&quot;},{&quot;family&quot;:&quot;Joshanloo&quot;,&quot;given&quot;:&quot;Mohsen&quot;,&quot;parse-names&quot;:false,&quot;dropping-particle&quot;:&quot;&quot;,&quot;non-dropping-particle&quot;:&quot;&quot;},{&quot;family&quot;:&quot;Hutaphat&quot;,&quot;given&quot;:&quot;Wannee&quot;,&quot;parse-names&quot;:false,&quot;dropping-particle&quot;:&quot;&quot;,&quot;non-dropping-particle&quot;:&quot;&quot;},{&quot;family&quot;:&quot;Kittisuksathit&quot;,&quot;given&quot;:&quot;Sirinan&quot;,&quot;parse-names&quot;:false,&quot;dropping-particle&quot;:&quot;&quot;,&quot;non-dropping-particle&quot;:&quot;&quot;}],&quot;container-title&quot;:&quot;BJPsych Open&quot;,&quot;container-title-short&quot;:&quot;BJPsych Open&quot;,&quot;DOI&quot;:&quot;10.1192/bjo.2025.21&quot;,&quot;ISSN&quot;:&quot;2056-4724&quot;,&quot;URL&quot;:&quot;https://www.cambridge.org/core/product/identifier/S2056472425000213/type/journal_article&quot;,&quot;issued&quot;:{&quot;date-parts&quot;:[[2025,3,19]]},&quot;page&quot;:&quot;e59&quot;,&quot;issue&quot;:&quot;2&quot;,&quot;volume&quot;:&quot;11&quot;},&quot;isTemporary&quot;:false}]},{&quot;citationID&quot;:&quot;MENDELEY_CITATION_b4dd2c82-5e23-480d-9385-2f3435175320&quot;,&quot;properties&quot;:{&quot;noteIndex&quot;:0},&quot;isEdited&quot;:false,&quot;manualOverride&quot;:{&quot;isManuallyOverridden&quot;:false,&quot;citeprocText&quot;:&quot;[2]&quot;,&quot;manualOverrideText&quot;:&quot;&quot;},&quot;citationTag&quot;:&quot;MENDELEY_CITATION_v3_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&quot;,&quot;citationItems&quot;:[{&quot;id&quot;:&quot;badb9bd5-cace-3464-bb6e-4fcd4262478c&quot;,&quot;itemData&quot;:{&quot;type&quot;:&quot;webpage&quot;,&quot;id&quot;:&quot;badb9bd5-cace-3464-bb6e-4fcd4262478c&quot;,&quot;title&quot;:&quot;New brief on student mental health support in higher education released | International Institute for Higher Education in Latin America and the Caribbean&quot;,&quot;accessed&quot;:{&quot;date-parts&quot;:[[2025,4,23]]},&quot;URL&quot;:&quot;https://www.iesalc.unesco.org/en/articles/new-brief-student-mental-health-support-higher-education-released&quot;,&quot;container-title-short&quot;:&quot;&quot;},&quot;isTemporary&quot;:false}]},{&quot;citationID&quot;:&quot;MENDELEY_CITATION_e49a7708-a034-42fe-ba03-a3f293e8e606&quot;,&quot;properties&quot;:{&quot;noteIndex&quot;:0},&quot;isEdited&quot;:false,&quot;manualOverride&quot;:{&quot;isManuallyOverridden&quot;:false,&quot;citeprocText&quot;:&quot;[3]&quot;,&quot;manualOverrideText&quot;:&quot;&quot;},&quot;citationTag&quot;:&quot;MENDELEY_CITATION_v3_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&quot;,&quot;citationItems&quot;:[{&quot;id&quot;:&quot;67f88075-0897-3eb6-bed3-66faef16798f&quot;,&quot;itemData&quot;:{&quot;type&quot;:&quot;article-journal&quot;,&quot;id&quot;:&quot;67f88075-0897-3eb6-bed3-66faef16798f&quot;,&quot;title&quot;:&quot;WHO world mental health surveys international college student project: Prevalence and distribution of mental disorders&quot;,&quot;author&quot;:[{&quot;family&quot;:&quot;Auerbach&quot;,&quot;given&quot;:&quot;Randy P.&quot;,&quot;parse-names&quot;:false,&quot;dropping-particle&quot;:&quot;&quot;,&quot;non-dropping-particle&quot;:&quot;&quot;},{&quot;family&quot;:&quot;Mortier&quot;,&quot;given&quot;:&quot;Philippe&quot;,&quot;parse-names&quot;:false,&quot;dropping-particle&quot;:&quot;&quot;,&quot;non-dropping-particle&quot;:&quot;&quot;},{&quot;family&quot;:&quot;Bruffaerts&quot;,&quot;given&quot;:&quot;Ronny&quot;,&quot;parse-names&quot;:false,&quot;dropping-particle&quot;:&quot;&quot;,&quot;non-dropping-particle&quot;:&quot;&quot;},{&quot;family&quot;:&quot;Alonso&quot;,&quot;given&quot;:&quot;Jordi&quot;,&quot;parse-names&quot;:false,&quot;dropping-particle&quot;:&quot;&quot;,&quot;non-dropping-particle&quot;:&quot;&quot;},{&quot;family&quot;:&quot;Benjet&quot;,&quot;given&quot;:&quot;Corina&quot;,&quot;parse-names&quot;:false,&quot;dropping-particle&quot;:&quot;&quot;,&quot;non-dropping-particle&quot;:&quot;&quot;},{&quot;family&quot;:&quot;Cuijpers&quot;,&quot;given&quot;:&quot;Pim&quot;,&quot;parse-names&quot;:false,&quot;dropping-particle&quot;:&quot;&quot;,&quot;non-dropping-particle&quot;:&quot;&quot;},{&quot;family&quot;:&quot;Demyttenaere&quot;,&quot;given&quot;:&quot;Koen&quot;,&quot;parse-names&quot;:false,&quot;dropping-particle&quot;:&quot;&quot;,&quot;non-dropping-particle&quot;:&quot;&quot;},{&quot;family&quot;:&quot;Ebert&quot;,&quot;given&quot;:&quot;David D.&quot;,&quot;parse-names&quot;:false,&quot;dropping-particle&quot;:&quot;&quot;,&quot;non-dropping-particle&quot;:&quot;&quot;},{&quot;family&quot;:&quot;Green&quot;,&quot;given&quot;:&quot;Jennifer Greif&quot;,&quot;parse-names&quot;:false,&quot;dropping-particle&quot;:&quot;&quot;,&quot;non-dropping-particle&quot;:&quot;&quot;},{&quot;family&quot;:&quot;Hasking&quot;,&quot;given&quot;:&quot;Penelope&quot;,&quot;parse-names&quot;:false,&quot;dropping-particle&quot;:&quot;&quot;,&quot;non-dropping-particle&quot;:&quot;&quot;},{&quot;family&quot;:&quot;Murray&quot;,&quot;given&quot;:&quot;Elaine&quot;,&quot;parse-names&quot;:false,&quot;dropping-particle&quot;:&quot;&quot;,&quot;non-dropping-particle&quot;:&quot;&quot;},{&quot;family&quot;:&quot;Nock&quot;,&quot;given&quot;:&quot;Matthew K.&quot;,&quot;parse-names&quot;:false,&quot;dropping-particle&quot;:&quot;&quot;,&quot;non-dropping-particle&quot;:&quot;&quot;},{&quot;family&quot;:&quot;Pinder-Amaker&quot;,&quot;given&quot;:&quot;Stephanie&quot;,&quot;parse-names&quot;:false,&quot;dropping-particle&quot;:&quot;&quot;,&quot;non-dropping-particle&quot;:&quot;&quot;},{&quot;family&quot;:&quot;Sampson&quot;,&quot;given&quot;:&quot;Nancy A.&quot;,&quot;parse-names&quot;:false,&quot;dropping-particle&quot;:&quot;&quot;,&quot;non-dropping-particle&quot;:&quot;&quot;},{&quot;family&quot;:&quot;Stein&quot;,&quot;given&quot;:&quot;Dan J.&quot;,&quot;parse-names&quot;:false,&quot;dropping-particle&quot;:&quot;&quot;,&quot;non-dropping-particle&quot;:&quot;&quot;},{&quot;family&quot;:&quot;Vilagut&quot;,&quot;given&quot;:&quot;Gemma&quot;,&quot;parse-names&quot;:false,&quot;dropping-particle&quot;:&quot;&quot;,&quot;non-dropping-particle&quot;:&quot;&quot;},{&quot;family&quot;:&quot;Zaslavsky&quot;,&quot;given&quot;:&quot;Alan M.&quot;,&quot;parse-names&quot;:false,&quot;dropping-particle&quot;:&quot;&quot;,&quot;non-dropping-particle&quot;:&quot;&quot;},{&quot;family&quot;:&quot;Kessler&quot;,&quot;given&quot;:&quot;Ronald C.&quot;,&quot;parse-names&quot;:false,&quot;dropping-particle&quot;:&quot;&quot;,&quot;non-dropping-particle&quot;:&quot;&quot;}],&quot;container-title&quot;:&quot;Journal of Abnormal Psychology&quot;,&quot;container-title-short&quot;:&quot;J Abnorm Psychol&quot;,&quot;DOI&quot;:&quot;10.1037/abn0000362&quot;,&quot;ISSN&quot;:&quot;19391846&quot;,&quot;PMID&quot;:&quot;30211576&quot;,&quot;issued&quot;:{&quot;date-parts&quot;:[[2018,10,1]]},&quot;page&quot;:&quot;623-638&quot;,&quot;abstract&quot;:&quot;Increasingly, colleges across the world are contending with rising rates of mental disorders, and in many cases, the demand for services on campus far exceeds the available resources. The present study reports initial results from the first stage of the WHO World Mental Health International College Student project, in which a series of surveys in 19 colleges across 8 countries (Australia, Belgium, Germany, Mexico, Northern Ireland, South Africa, Spain, United States) were carried out with the aim of estimating prevalence and basic sociodemographic correlates of common mental disorders among first-year college students. Web-based self-report questionnaires administered to incoming first-year students (45.5% pooled response rate) screened for six common lifetime and 12-month DSM-IV mental disorders: major depression, mania/hypomania, generalized anxiety disorder, panic disorder, alcohol use disorder, and substance use disorder. We focus on the 13,984 respondents who were full-time students: 35% of whom screened positive for at least one of the common lifetime disorders assessed and 31% screened positive for at least one 12-month disorder. Syndromes typically had onsets in early to middle adolescence and persisted into the year of the survey. Although relatively modest, the strongest correlates of screening positive were older age, female sex, unmarried-deceased parents, no religious affiliation, nonheterosexual identification and behavior, low secondary school ranking, and extrinsic motivation for college enrollment. The weakness of these associations means that the syndromes considered are widely distributed with respect to these variables in the student population. Although the extent to which cost-effective treatment would reduce these risks is unclear, the high level of need for mental health services implied by these results represents a major challenge to institutions of higher education and governments.&quot;,&quot;publisher&quot;:&quot;American Psychological Association Inc.&quot;,&quot;issue&quot;:&quot;7&quot;,&quot;volume&quot;:&quot;127&quot;},&quot;isTemporary&quot;:false}]},{&quot;citationID&quot;:&quot;MENDELEY_CITATION_30abab53-6f9e-4ab9-96ed-6d7ea75d72d3&quot;,&quot;properties&quot;:{&quot;noteIndex&quot;:0},&quot;isEdited&quot;:false,&quot;manualOverride&quot;:{&quot;isManuallyOverridden&quot;:false,&quot;citeprocText&quot;:&quot;[4]&quot;,&quot;manualOverrideText&quot;:&quot;&quot;},&quot;citationTag&quot;:&quot;MENDELEY_CITATION_v3_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&quot;,&quot;citationItems&quot;:[{&quot;id&quot;:&quot;871ff963-2346-3f96-866d-8e48c13e5974&quot;,&quot;itemData&quot;:{&quot;type&quot;:&quot;webpage&quot;,&quot;id&quot;:&quot;871ff963-2346-3f96-866d-8e48c13e5974&quot;,&quot;title&quot;:&quot;The Consequences of Academic Pressure on Students' Mental Health&quot;,&quot;accessed&quot;:{&quot;date-parts&quot;:[[2025,4,23]]},&quot;URL&quot;:&quot;https://www.transformationsnetwork.com/post/the-consequences-of-academic-pressure-on-students-mental-health&quot;,&quot;container-title-short&quot;:&quot;&quot;},&quot;isTemporary&quot;:false}]},{&quot;citationID&quot;:&quot;MENDELEY_CITATION_ed5f9846-7ea8-488b-9548-d56acfe26b20&quot;,&quot;properties&quot;:{&quot;noteIndex&quot;:0},&quot;isEdited&quot;:false,&quot;manualOverride&quot;:{&quot;isManuallyOverridden&quot;:false,&quot;citeprocText&quot;:&quot;[5]&quot;,&quot;manualOverrideText&quot;:&quot;&quot;},&quot;citationTag&quot;:&quot;MENDELEY_CITATION_v3_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&quot;,&quot;citationItems&quot;:[{&quot;id&quot;:&quot;bbc088ca-3aed-3043-9974-6a8fbd2bd20b&quot;,&quot;itemData&quot;:{&quot;type&quot;:&quot;webpage&quot;,&quot;id&quot;:&quot;bbc088ca-3aed-3043-9974-6a8fbd2bd20b&quot;,&quot;title&quot;:&quot;Hidden Cost of Working Through College: Students Struggle to Balance Mental Health – The Red Line Project&quot;,&quot;accessed&quot;:{&quot;date-parts&quot;:[[2025,4,23]]},&quot;URL&quot;:&quot;https://redlineproject.news/2024/11/30/hidden-cost-of-working-through-college-students-struggle-to-balance-mental-health/&quot;,&quot;container-title-short&quot;:&quot;&quot;},&quot;isTemporary&quot;:false}]},{&quot;citationID&quot;:&quot;MENDELEY_CITATION_09abd447-41b9-4c06-87af-8c963c66250b&quot;,&quot;properties&quot;:{&quot;noteIndex&quot;:0},&quot;isEdited&quot;:false,&quot;manualOverride&quot;:{&quot;isManuallyOverridden&quot;:false,&quot;citeprocText&quot;:&quot;[6]&quot;,&quot;manualOverrideText&quot;:&quot;&quot;},&quot;citationTag&quot;:&quot;MENDELEY_CITATION_v3_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&quot;,&quot;citationItems&quot;:[{&quot;id&quot;:&quot;67744155-0073-3036-aa46-a3d1d7ad79ed&quot;,&quot;itemData&quot;:{&quot;type&quot;:&quot;webpage&quot;,&quot;id&quot;:&quot;67744155-0073-3036-aa46-a3d1d7ad79ed&quot;,&quot;title&quot;:&quot;Understanding The Impact Of Financial Stress In College Students | BetterHelp&quot;,&quot;accessed&quot;:{&quot;date-parts&quot;:[[2025,4,23]]},&quot;URL&quot;:&quot;https://www.betterhelp.com/advice/stress/understanding-the-impact-of-financial-stress-in-college-student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5A4A-610E-4753-AEF8-DCAF71D4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Abdulshakur Wadada</dc:creator>
  <cp:keywords/>
  <dc:description/>
  <cp:lastModifiedBy>Abdulshakur Wadada</cp:lastModifiedBy>
  <cp:revision>2</cp:revision>
  <dcterms:created xsi:type="dcterms:W3CDTF">2025-04-24T08:57:00Z</dcterms:created>
  <dcterms:modified xsi:type="dcterms:W3CDTF">2025-04-24T08:57:00Z</dcterms:modified>
</cp:coreProperties>
</file>