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b/>
          <w:bCs/>
          <w:color w:val="1A2418"/>
          <w:sz w:val="88"/>
          <w:szCs w:val="88"/>
        </w:rPr>
        <w:t xml:space="preserve">GROWHUB</w:t>
      </w:r>
    </w:p>
    <w:p>
      <w:pPr>
        <w:spacing w:before="0" w:after="160"/>
        <w:jc w:val="center"/>
      </w:pPr>
      <w:r>
        <w:rPr>
          <w:rFonts w:ascii="Arial" w:cs="Arial" w:eastAsia="Arial" w:hAnsi="Arial"/>
          <w:b/>
          <w:bCs/>
          <w:color w:val="3A8A00"/>
          <w:sz w:val="88"/>
          <w:szCs w:val="88"/>
        </w:rPr>
        <w:t xml:space="preserve">Link</w:t>
      </w:r>
    </w:p>
    <w:p>
      <w:pPr>
        <w:pBdr>
          <w:bottom w:val="single" w:color="3A8A00" w:sz="12" w:space="6"/>
        </w:pBdr>
        <w:spacing w:before="0" w:after="240"/>
        <w:jc w:val="center"/>
      </w:pPr>
      <w:r>
        <w:t xml:space="preserve"/>
      </w:r>
    </w:p>
    <w:p>
      <w:pPr>
        <w:spacing w:before="160" w:after="80"/>
        <w:jc w:val="center"/>
      </w:pPr>
      <w:r>
        <w:rPr>
          <w:rFonts w:ascii="Arial" w:cs="Arial" w:eastAsia="Arial" w:hAnsi="Arial"/>
          <w:b/>
          <w:bCs/>
          <w:color w:val="1A2418"/>
          <w:sz w:val="44"/>
          <w:szCs w:val="44"/>
        </w:rPr>
        <w:t xml:space="preserve">CAHIER DES CHARGES DÉTAILLÉ</w:t>
      </w:r>
    </w:p>
    <w:p>
      <w:pPr>
        <w:spacing w:before="0" w:after="240"/>
        <w:jc w:val="center"/>
      </w:pPr>
      <w:r>
        <w:rPr>
          <w:rFonts w:ascii="Arial" w:cs="Arial" w:eastAsia="Arial" w:hAnsi="Arial"/>
          <w:i/>
          <w:iCs/>
          <w:color w:val="4A5E45"/>
          <w:sz w:val="26"/>
          <w:szCs w:val="26"/>
        </w:rPr>
        <w:t xml:space="preserve">Plateforme SaaS B2B — Écosystème Entrepreneurial Francophone</w:t>
      </w:r>
    </w:p>
    <w:p>
      <w:pPr>
        <w:spacing w:before="0" w:after="0"/>
      </w:pPr>
      <w:r>
        <w:t xml:space="preserv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1.0 — Mars 2025</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Statut</w:t>
            </w:r>
          </w:p>
        </w:tc>
        <w:tc>
          <w:tcPr>
            <w:tcW w:type="dxa" w:w="6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Document de référence — CONFIDENTIEL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Rédacteur</w:t>
            </w:r>
          </w:p>
        </w:tc>
        <w:tc>
          <w:tcPr>
            <w:tcW w:type="dxa" w:w="6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Équipe Produit GrowHubLink</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Périmètre</w:t>
            </w:r>
          </w:p>
        </w:tc>
        <w:tc>
          <w:tcPr>
            <w:tcW w:type="dxa" w:w="6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Plateforme complète — 7 profils utilisateurs — Web + Mobile (Phase 2)</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Devise réf.</w:t>
            </w:r>
          </w:p>
        </w:tc>
        <w:tc>
          <w:tcPr>
            <w:tcW w:type="dxa" w:w="6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XOF — Franc CFA BCEAO (par défaut utilisateur)</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Pages</w:t>
            </w:r>
          </w:p>
        </w:tc>
        <w:tc>
          <w:tcPr>
            <w:tcW w:type="dxa" w:w="6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Document complet — version initiale</w:t>
            </w:r>
          </w:p>
        </w:tc>
      </w:tr>
    </w:tbl>
    <w:p>
      <w:pPr>
        <w:spacing w:before="0" w:after="0"/>
      </w:pPr>
      <w:r>
        <w:t xml:space="preserve"/>
      </w:r>
    </w:p>
    <w:p>
      <w:pPr>
        <w:spacing w:before="0" w:after="0"/>
      </w:pPr>
      <w:r>
        <w:t xml:space="preserve"/>
      </w:r>
    </w:p>
    <w:p>
      <w:r>
        <w:br w:type="page"/>
      </w:r>
    </w:p>
    <w:p>
      <w:pPr>
        <w:pStyle w:val="Heading1"/>
        <w:spacing w:before="400" w:after="160"/>
      </w:pPr>
      <w:r>
        <w:rPr>
          <w:rFonts w:ascii="Arial" w:cs="Arial" w:eastAsia="Arial" w:hAnsi="Arial"/>
          <w:b/>
          <w:bCs/>
          <w:color w:val="3A8A00"/>
          <w:sz w:val="40"/>
          <w:szCs w:val="40"/>
        </w:rPr>
        <w:t xml:space="preserve">Table des matières</w:t>
      </w:r>
    </w:p>
    <w:sdt>
      <w:sdtPr>
        <w:alias w:val="Table des matière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400" w:after="160"/>
      </w:pPr>
      <w:r>
        <w:rPr>
          <w:rFonts w:ascii="Arial" w:cs="Arial" w:eastAsia="Arial" w:hAnsi="Arial"/>
          <w:b/>
          <w:bCs/>
          <w:color w:val="3A8A00"/>
          <w:sz w:val="40"/>
          <w:szCs w:val="40"/>
        </w:rPr>
        <w:t xml:space="preserve">1. Présentation du projet</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1.1 Contexte et genèse</w:t>
      </w:r>
    </w:p>
    <w:p>
      <w:pPr>
        <w:spacing w:before="80" w:after="80" w:line="340"/>
        <w:jc w:val="both"/>
      </w:pPr>
      <w:r>
        <w:rPr>
          <w:rFonts w:ascii="Arial" w:cs="Arial" w:eastAsia="Arial" w:hAnsi="Arial"/>
          <w:color w:val="1A2418"/>
          <w:sz w:val="22"/>
          <w:szCs w:val="22"/>
        </w:rPr>
        <w:t xml:space="preserve">GrowHubLink est une plateforme SaaS B2B conçue pour connecter, accompagner et faire grandir l'écosystème entrepreneurial francophone — avec un focus particulier sur l'Afrique de l'Ouest. Dans un environnement où les entrepreneurs souffrent d'un manque de ressources structurées, d'accès au financement et de mentors qualifiés, GrowHubLink ambitionne de devenir le hub de référence réunissant startups, investisseurs, coachs experts, freelances, incubateurs, étudiants et porteurs de projets dans une expérience unifiée et contextuelle.</w:t>
      </w:r>
    </w:p>
    <w:p>
      <w:pPr>
        <w:spacing w:before="80" w:after="80" w:line="340"/>
        <w:jc w:val="both"/>
      </w:pPr>
      <w:r>
        <w:rPr>
          <w:rFonts w:ascii="Arial" w:cs="Arial" w:eastAsia="Arial" w:hAnsi="Arial"/>
          <w:color w:val="1A2418"/>
          <w:sz w:val="22"/>
          <w:szCs w:val="22"/>
        </w:rPr>
        <w:t xml:space="preserve">Le constat fondateur est simple : l'accompagnement entrepreneurial est aujourd'hui fragmenté entre LinkedIn (réseau), Calendly (prise de rendez-vous), Notion (documentation), diverses plateformes de coaching et des outils de levée de fonds disparates. GrowHubLink unifie ces usages dans un environnement cohérent, adapté au contexte local (XOF, langues, réglementations) et conçu pour créer des interactions à forte valeur ajoutée entre les acteurs de l'écosystème.</w:t>
      </w:r>
    </w:p>
    <w:p>
      <w:pPr>
        <w:pStyle w:val="Heading2"/>
        <w:spacing w:before="300" w:after="120"/>
      </w:pPr>
      <w:r>
        <w:rPr>
          <w:rFonts w:ascii="Arial" w:cs="Arial" w:eastAsia="Arial" w:hAnsi="Arial"/>
          <w:b/>
          <w:bCs/>
          <w:color w:val="1A2418"/>
          <w:sz w:val="30"/>
          <w:szCs w:val="30"/>
        </w:rPr>
        <w:t xml:space="preserve">1.2 Vision produit</w:t>
      </w:r>
    </w:p>
    <w:p>
      <w:pPr>
        <w:spacing w:before="80" w:after="80" w:line="340"/>
        <w:jc w:val="both"/>
      </w:pPr>
      <w:r>
        <w:rPr>
          <w:rFonts w:ascii="Arial" w:cs="Arial" w:eastAsia="Arial" w:hAnsi="Arial"/>
          <w:color w:val="1A2418"/>
          <w:sz w:val="22"/>
          <w:szCs w:val="22"/>
        </w:rPr>
        <w:t xml:space="preserve">GrowHubLink sera à l'écosystème startup francophone ce que Slack est à la communication d'équipe : une plateforme indispensable qui structure les échanges, accélère la croissance et génère de la valeur pour chaque profil d'utilisateur. L'objectif à 5 ans est de compter 100 000 membres actifs dans 15 pays francophones, de faciliter plus de 10 000 sessions de coaching par mois et de catalyser plus de 50 milliards de XOF de levées de fonds.</w:t>
      </w:r>
    </w:p>
    <w:p>
      <w:pPr>
        <w:pStyle w:val="Heading2"/>
        <w:spacing w:before="300" w:after="120"/>
      </w:pPr>
      <w:r>
        <w:rPr>
          <w:rFonts w:ascii="Arial" w:cs="Arial" w:eastAsia="Arial" w:hAnsi="Arial"/>
          <w:b/>
          <w:bCs/>
          <w:color w:val="1A2418"/>
          <w:sz w:val="30"/>
          <w:szCs w:val="30"/>
        </w:rPr>
        <w:t xml:space="preserve">1.3 Objectifs stratégiques</w:t>
      </w:r>
    </w:p>
    <w:p>
      <w:pPr>
        <w:pStyle w:val="ListParagraph"/>
        <w:numPr>
          <w:ilvl w:val="0"/>
          <w:numId w:val="2"/>
        </w:numPr>
        <w:spacing w:before="40" w:after="40" w:line="300"/>
      </w:pPr>
      <w:r>
        <w:rPr>
          <w:rFonts w:ascii="Arial" w:cs="Arial" w:eastAsia="Arial" w:hAnsi="Arial"/>
          <w:color w:val="1A2418"/>
          <w:sz w:val="22"/>
          <w:szCs w:val="22"/>
        </w:rPr>
        <w:t xml:space="preserve">Créer le hub de référence pour les entrepreneurs francophones — Sénégal, Côte d'Ivoire, Mali, Burkina Faso, Guinée, Cameroun, France</w:t>
      </w:r>
    </w:p>
    <w:p>
      <w:pPr>
        <w:pStyle w:val="ListParagraph"/>
        <w:numPr>
          <w:ilvl w:val="0"/>
          <w:numId w:val="2"/>
        </w:numPr>
        <w:spacing w:before="40" w:after="40" w:line="300"/>
      </w:pPr>
      <w:r>
        <w:rPr>
          <w:rFonts w:ascii="Arial" w:cs="Arial" w:eastAsia="Arial" w:hAnsi="Arial"/>
          <w:color w:val="1A2418"/>
          <w:sz w:val="22"/>
          <w:szCs w:val="22"/>
        </w:rPr>
        <w:t xml:space="preserve">Faciliter la mise en relation qualifiée entre fondateurs, investisseurs, experts et mentors grâce à un algorithme de matching intelligent</w:t>
      </w:r>
    </w:p>
    <w:p>
      <w:pPr>
        <w:pStyle w:val="ListParagraph"/>
        <w:numPr>
          <w:ilvl w:val="0"/>
          <w:numId w:val="2"/>
        </w:numPr>
        <w:spacing w:before="40" w:after="40" w:line="300"/>
      </w:pPr>
      <w:r>
        <w:rPr>
          <w:rFonts w:ascii="Arial" w:cs="Arial" w:eastAsia="Arial" w:hAnsi="Arial"/>
          <w:color w:val="1A2418"/>
          <w:sz w:val="22"/>
          <w:szCs w:val="22"/>
        </w:rPr>
        <w:t xml:space="preserve">Démocratiser l'accès au coaching de qualité via une marketplace d'experts certifiés avec sessions en visioconférence intégrée</w:t>
      </w:r>
    </w:p>
    <w:p>
      <w:pPr>
        <w:pStyle w:val="ListParagraph"/>
        <w:numPr>
          <w:ilvl w:val="0"/>
          <w:numId w:val="2"/>
        </w:numPr>
        <w:spacing w:before="40" w:after="40" w:line="300"/>
      </w:pPr>
      <w:r>
        <w:rPr>
          <w:rFonts w:ascii="Arial" w:cs="Arial" w:eastAsia="Arial" w:hAnsi="Arial"/>
          <w:color w:val="1A2418"/>
          <w:sz w:val="22"/>
          <w:szCs w:val="22"/>
        </w:rPr>
        <w:t xml:space="preserve">Soutenir la structuration des écosystèmes startup en Afrique de l'Ouest — incubateurs, accélérateurs, programmes gouvernementaux</w:t>
      </w:r>
    </w:p>
    <w:p>
      <w:pPr>
        <w:pStyle w:val="ListParagraph"/>
        <w:numPr>
          <w:ilvl w:val="0"/>
          <w:numId w:val="2"/>
        </w:numPr>
        <w:spacing w:before="40" w:after="40" w:line="300"/>
      </w:pPr>
      <w:r>
        <w:rPr>
          <w:rFonts w:ascii="Arial" w:cs="Arial" w:eastAsia="Arial" w:hAnsi="Arial"/>
          <w:color w:val="1A2418"/>
          <w:sz w:val="22"/>
          <w:szCs w:val="22"/>
        </w:rPr>
        <w:t xml:space="preserve">Générer un modèle économique durable via l'abonnement SaaS (Freemium → Pro → Business → Enterprise) et la marketplace d'experts (commission 15%)</w:t>
      </w:r>
    </w:p>
    <w:p>
      <w:pPr>
        <w:pStyle w:val="ListParagraph"/>
        <w:numPr>
          <w:ilvl w:val="0"/>
          <w:numId w:val="2"/>
        </w:numPr>
        <w:spacing w:before="40" w:after="40" w:line="300"/>
      </w:pPr>
      <w:r>
        <w:rPr>
          <w:rFonts w:ascii="Arial" w:cs="Arial" w:eastAsia="Arial" w:hAnsi="Arial"/>
          <w:color w:val="1A2418"/>
          <w:sz w:val="22"/>
          <w:szCs w:val="22"/>
        </w:rPr>
        <w:t xml:space="preserve">Valoriser les données anonymisées de l'écosystème au bénéfice des acteurs institutionnels (bailleurs, gouvernements, fonds de développement)</w:t>
      </w:r>
    </w:p>
    <w:p>
      <w:pPr>
        <w:spacing w:before="0" w:after="0"/>
      </w:pPr>
      <w:r>
        <w:t xml:space="preserve"/>
      </w:r>
    </w:p>
    <w:tbl>
      <w:tblPr>
        <w:tblW w:type="dxa" w:w="9026"/>
        <w:tblBorders>
          <w:top w:val="single" w:color="3A8A00" w:sz="8"/>
          <w:left w:val="single" w:color="3A8A00" w:sz="8"/>
          <w:bottom w:val="single" w:color="3A8A00" w:sz="8"/>
          <w:right w:val="single" w:color="3A8A00" w:sz="8"/>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5E0" w:val="clear"/>
            <w:tcMar>
              <w:top w:type="dxa" w:w="140"/>
              <w:left w:type="dxa" w:w="200"/>
              <w:bottom w:type="dxa" w:w="140"/>
              <w:right w:type="dxa" w:w="200"/>
            </w:tcMar>
          </w:tcPr>
          <w:p>
            <w:pPr>
              <w:spacing w:before="40" w:after="40" w:line="300"/>
            </w:pPr>
            <w:r>
              <w:rPr>
                <w:rFonts w:ascii="Arial" w:cs="Arial" w:eastAsia="Arial" w:hAnsi="Arial"/>
                <w:color w:val="1A2418"/>
                <w:sz w:val="22"/>
                <w:szCs w:val="22"/>
              </w:rPr>
              <w:t xml:space="preserve">🌍  Marchés cibles prioritaires : Sénégal, Côte d'Ivoire, Mali, Burkina Faso, Guinée, Cameroun, France</w:t>
            </w:r>
          </w:p>
          <w:p>
            <w:pPr>
              <w:spacing w:before="40" w:after="40" w:line="300"/>
            </w:pPr>
            <w:r>
              <w:rPr>
                <w:rFonts w:ascii="Arial" w:cs="Arial" w:eastAsia="Arial" w:hAnsi="Arial"/>
                <w:color w:val="1A2418"/>
                <w:sz w:val="22"/>
                <w:szCs w:val="22"/>
              </w:rPr>
              <w:t xml:space="preserve">💱  Devise par défaut : XOF (Franc CFA BCEAO) — configurable par l'utilisateur (7 devises supportées)</w:t>
            </w:r>
          </w:p>
          <w:p>
            <w:pPr>
              <w:spacing w:before="40" w:after="40" w:line="300"/>
            </w:pPr>
            <w:r>
              <w:rPr>
                <w:rFonts w:ascii="Arial" w:cs="Arial" w:eastAsia="Arial" w:hAnsi="Arial"/>
                <w:color w:val="1A2418"/>
                <w:sz w:val="22"/>
                <w:szCs w:val="22"/>
              </w:rPr>
              <w:t xml:space="preserve">📱  Plateformes : Web responsive prioritaire — Application mobile iOS + Android (Phase 2)</w:t>
            </w:r>
          </w:p>
          <w:p>
            <w:pPr>
              <w:spacing w:before="40" w:after="40" w:line="300"/>
            </w:pPr>
            <w:r>
              <w:rPr>
                <w:rFonts w:ascii="Arial" w:cs="Arial" w:eastAsia="Arial" w:hAnsi="Arial"/>
                <w:color w:val="1A2418"/>
                <w:sz w:val="22"/>
                <w:szCs w:val="22"/>
              </w:rPr>
              <w:t xml:space="preserve">🏗️   Architecture : SaaS multi-tenant, cloud-native, API-first, temps réel (WebSockets)</w:t>
            </w:r>
          </w:p>
          <w:p>
            <w:pPr>
              <w:spacing w:before="40" w:after="40" w:line="300"/>
            </w:pPr>
            <w:r>
              <w:rPr>
                <w:rFonts w:ascii="Arial" w:cs="Arial" w:eastAsia="Arial" w:hAnsi="Arial"/>
                <w:color w:val="1A2418"/>
                <w:sz w:val="22"/>
                <w:szCs w:val="22"/>
              </w:rPr>
              <w:t xml:space="preserve">🔒  Conformité : RGPD + réglementation UEMOA sur la protection des données personnelles</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1.4 Périmètre de la version 1.0</w:t>
      </w:r>
    </w:p>
    <w:p>
      <w:pPr>
        <w:spacing w:before="80" w:after="80" w:line="340"/>
        <w:jc w:val="both"/>
      </w:pPr>
      <w:r>
        <w:rPr>
          <w:rFonts w:ascii="Arial" w:cs="Arial" w:eastAsia="Arial" w:hAnsi="Arial"/>
          <w:color w:val="1A2418"/>
          <w:sz w:val="22"/>
          <w:szCs w:val="22"/>
        </w:rPr>
        <w:t xml:space="preserve">La version 1.0 couvre l'intégralité de la plateforme web, incluant 7 profils utilisateurs distincts avec leurs tableaux de bord, leurs pages spécifiques et leurs outils métiers. Elle comprend également les fonctionnalités transversales (fil d'actualité, networking, messagerie, calendrier, marketplace, notifications, analytics, paramètres) ainsi que le système de devise configurable avec XOF comme devise par défaut.</w:t>
      </w:r>
    </w:p>
    <w:p>
      <w:r>
        <w:br w:type="page"/>
      </w:r>
    </w:p>
    <w:p>
      <w:pPr>
        <w:pStyle w:val="Heading1"/>
        <w:spacing w:before="400" w:after="160"/>
      </w:pPr>
      <w:r>
        <w:rPr>
          <w:rFonts w:ascii="Arial" w:cs="Arial" w:eastAsia="Arial" w:hAnsi="Arial"/>
          <w:b/>
          <w:bCs/>
          <w:color w:val="3A8A00"/>
          <w:sz w:val="40"/>
          <w:szCs w:val="40"/>
        </w:rPr>
        <w:t xml:space="preserve">2. Profils utilisateurs</w:t>
      </w:r>
    </w:p>
    <w:p>
      <w:pPr>
        <w:pBdr>
          <w:bottom w:val="single" w:color="3A8A00" w:sz="6" w:space="1"/>
        </w:pBdr>
        <w:spacing w:before="160" w:after="160"/>
      </w:pPr>
      <w:r>
        <w:t xml:space="preserve"/>
      </w:r>
    </w:p>
    <w:p>
      <w:pPr>
        <w:spacing w:before="80" w:after="80" w:line="340"/>
        <w:jc w:val="both"/>
      </w:pPr>
      <w:r>
        <w:rPr>
          <w:rFonts w:ascii="Arial" w:cs="Arial" w:eastAsia="Arial" w:hAnsi="Arial"/>
          <w:color w:val="1A2418"/>
          <w:sz w:val="22"/>
          <w:szCs w:val="22"/>
        </w:rPr>
        <w:t xml:space="preserve">GrowHubLink distingue 7 profils utilisateurs, chacun disposant d'une navigation dédiée, d'un tableau de bord personnalisé, d'outils métiers spécifiques et de KPIs adaptés. Un utilisateur peut basculer entre plusieurs profils depuis un même compte.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1100"/>
        <w:gridCol w:w="2000"/>
        <w:gridCol w:w="2400"/>
        <w:gridCol w:w="3166"/>
      </w:tblGrid>
      <w:tr>
        <w:trPr>
          <w:tblHeader/>
        </w:trPr>
        <w:tc>
          <w:tcPr>
            <w:tcW w:type="dxa" w:w="36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11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w:t>
            </w:r>
          </w:p>
        </w:tc>
        <w:tc>
          <w:tcPr>
            <w:tcW w:type="dxa" w:w="20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 courte</w:t>
            </w:r>
          </w:p>
        </w:tc>
        <w:tc>
          <w:tcPr>
            <w:tcW w:type="dxa" w:w="24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Pages dédiées</w:t>
            </w:r>
          </w:p>
        </w:tc>
        <w:tc>
          <w:tcPr>
            <w:tcW w:type="dxa" w:w="316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KPIs principaux</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 Startup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Fondateur ou co-fondateur d'une startup en croissance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Dashboard, Pitch Deck, Fundraising, Roadmap, Équipe, Légal, Coaching</w:t>
            </w:r>
          </w:p>
        </w:tc>
        <w:tc>
          <w:tcPr>
            <w:tcW w:type="dxa" w:w="316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MRR, ARR, Levée, Burn rate</w:t>
            </w:r>
          </w:p>
        </w:tc>
      </w:tr>
      <w:tr>
        <w:tc>
          <w:tcPr>
            <w:tcW w:type="dxa" w:w="36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2</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 Investisseur</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Business Angel, VC, family office actif</w:t>
            </w:r>
          </w:p>
        </w:tc>
        <w:tc>
          <w:tcPr>
            <w:tcW w:type="dxa" w:w="2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Dashboard, Deal Flow, LP Reporting, Portfolio, Due Diligence</w:t>
            </w:r>
          </w:p>
        </w:tc>
        <w:tc>
          <w:tcPr>
            <w:tcW w:type="dxa" w:w="316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AUM, MOIC, IRR, Dry powder</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 Mentor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Coach ou expert sectoriel certifié</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Dashboard, Sessions, Mentorés, Ressources, Disponibilités</w:t>
            </w:r>
          </w:p>
        </w:tc>
        <w:tc>
          <w:tcPr>
            <w:tcW w:type="dxa" w:w="316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Revenus, Satisfaction, Rebook %</w:t>
            </w:r>
          </w:p>
        </w:tc>
      </w:tr>
      <w:tr>
        <w:tc>
          <w:tcPr>
            <w:tcW w:type="dxa" w:w="36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4</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 Freelance</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Consultant ou expert indépendant</w:t>
            </w:r>
          </w:p>
        </w:tc>
        <w:tc>
          <w:tcPr>
            <w:tcW w:type="dxa" w:w="2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Dashboard, Missions, Prospects, Coaching, Juridique, Agenda</w:t>
            </w:r>
          </w:p>
        </w:tc>
        <w:tc>
          <w:tcPr>
            <w:tcW w:type="dxa" w:w="316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CA mensuel, Missions actives, TJM</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 Incubateur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Structure d'accompagnement (public ou privé)</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Dashboard, Candidatures, Demo Day, Alumni, Programmes, Ressources</w:t>
            </w:r>
          </w:p>
        </w:tc>
        <w:tc>
          <w:tcPr>
            <w:tcW w:type="dxa" w:w="316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Startups incubées, Levées, Emplois</w:t>
            </w:r>
          </w:p>
        </w:tc>
      </w:tr>
      <w:tr>
        <w:tc>
          <w:tcPr>
            <w:tcW w:type="dxa" w:w="36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6</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 Étudiant</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Étudiant ou jeune diplômé en reconversion tech</w:t>
            </w:r>
          </w:p>
        </w:tc>
        <w:tc>
          <w:tcPr>
            <w:tcW w:type="dxa" w:w="2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Dashboard, Progression, Badges, Coaching, Événements</w:t>
            </w:r>
          </w:p>
        </w:tc>
        <w:tc>
          <w:tcPr>
            <w:tcW w:type="dxa" w:w="316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Score, Streak, Objectifs, Connexions</w:t>
            </w:r>
          </w:p>
        </w:tc>
      </w:tr>
      <w:tr>
        <w:tc>
          <w:tcPr>
            <w:tcW w:type="dxa" w:w="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 Aspirationnel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Porteur de projet ou en reconversion entrepreneuriale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Dashboard, Mon Projet, Progression, Coaching, Légal, Pitch Deck</w:t>
            </w:r>
          </w:p>
        </w:tc>
        <w:tc>
          <w:tcPr>
            <w:tcW w:type="dxa" w:w="316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Étapes, Mentor, Validation MVP</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2.1 Profil Startup — Détail fonctionnel</w:t>
      </w:r>
    </w:p>
    <w:p>
      <w:pPr>
        <w:pStyle w:val="Heading3"/>
        <w:spacing w:before="200" w:after="80"/>
      </w:pPr>
      <w:r>
        <w:rPr>
          <w:rFonts w:ascii="Arial" w:cs="Arial" w:eastAsia="Arial" w:hAnsi="Arial"/>
          <w:b/>
          <w:bCs/>
          <w:color w:val="4A5E45"/>
          <w:sz w:val="24"/>
          <w:szCs w:val="24"/>
        </w:rPr>
        <w:t xml:space="preserve">Tableau de bord</w:t>
      </w:r>
    </w:p>
    <w:p>
      <w:pPr>
        <w:pStyle w:val="ListParagraph"/>
        <w:numPr>
          <w:ilvl w:val="0"/>
          <w:numId w:val="2"/>
        </w:numPr>
        <w:spacing w:before="40" w:after="40" w:line="300"/>
      </w:pPr>
      <w:r>
        <w:rPr>
          <w:rFonts w:ascii="Arial" w:cs="Arial" w:eastAsia="Arial" w:hAnsi="Arial"/>
          <w:color w:val="1A2418"/>
          <w:sz w:val="22"/>
          <w:szCs w:val="22"/>
        </w:rPr>
        <w:t xml:space="preserve">Vue synthétique des métriques clés : MRR (avec évolution MoM), ARR projeté, burn rate, runway</w:t>
      </w:r>
    </w:p>
    <w:p>
      <w:pPr>
        <w:pStyle w:val="ListParagraph"/>
        <w:numPr>
          <w:ilvl w:val="0"/>
          <w:numId w:val="2"/>
        </w:numPr>
        <w:spacing w:before="40" w:after="40" w:line="300"/>
      </w:pPr>
      <w:r>
        <w:rPr>
          <w:rFonts w:ascii="Arial" w:cs="Arial" w:eastAsia="Arial" w:hAnsi="Arial"/>
          <w:color w:val="1A2418"/>
          <w:sz w:val="22"/>
          <w:szCs w:val="22"/>
        </w:rPr>
        <w:t xml:space="preserve">Connexions réseau actives, score NPS coaching, sessions à venir</w:t>
      </w:r>
    </w:p>
    <w:p>
      <w:pPr>
        <w:pStyle w:val="ListParagraph"/>
        <w:numPr>
          <w:ilvl w:val="0"/>
          <w:numId w:val="2"/>
        </w:numPr>
        <w:spacing w:before="40" w:after="40" w:line="300"/>
      </w:pPr>
      <w:r>
        <w:rPr>
          <w:rFonts w:ascii="Arial" w:cs="Arial" w:eastAsia="Arial" w:hAnsi="Arial"/>
          <w:color w:val="1A2418"/>
          <w:sz w:val="22"/>
          <w:szCs w:val="22"/>
        </w:rPr>
        <w:t xml:space="preserve">Accès rapide aux 3 actions prioritaires (Pitch Deck, Fundraising, prochaine session coaching)</w:t>
      </w:r>
    </w:p>
    <w:p>
      <w:pPr>
        <w:pStyle w:val="ListParagraph"/>
        <w:numPr>
          <w:ilvl w:val="0"/>
          <w:numId w:val="2"/>
        </w:numPr>
        <w:spacing w:before="40" w:after="40" w:line="300"/>
      </w:pPr>
      <w:r>
        <w:rPr>
          <w:rFonts w:ascii="Arial" w:cs="Arial" w:eastAsia="Arial" w:hAnsi="Arial"/>
          <w:color w:val="1A2418"/>
          <w:sz w:val="22"/>
          <w:szCs w:val="22"/>
        </w:rPr>
        <w:t xml:space="preserve">Fil d'actualité personnalisé (posts du réseau) et suggestions de connexions qualifiées</w:t>
      </w:r>
    </w:p>
    <w:p>
      <w:pPr>
        <w:pStyle w:val="ListParagraph"/>
        <w:numPr>
          <w:ilvl w:val="0"/>
          <w:numId w:val="2"/>
        </w:numPr>
        <w:spacing w:before="40" w:after="40" w:line="300"/>
      </w:pPr>
      <w:r>
        <w:rPr>
          <w:rFonts w:ascii="Arial" w:cs="Arial" w:eastAsia="Arial" w:hAnsi="Arial"/>
          <w:color w:val="1A2418"/>
          <w:sz w:val="22"/>
          <w:szCs w:val="22"/>
        </w:rPr>
        <w:t xml:space="preserve">Alertes contextuelles — relances data room, rappels sessions, opportunités investisseurs</w:t>
      </w:r>
    </w:p>
    <w:p>
      <w:pPr>
        <w:pStyle w:val="Heading3"/>
        <w:spacing w:before="200" w:after="80"/>
      </w:pPr>
      <w:r>
        <w:rPr>
          <w:rFonts w:ascii="Arial" w:cs="Arial" w:eastAsia="Arial" w:hAnsi="Arial"/>
          <w:b/>
          <w:bCs/>
          <w:color w:val="4A5E45"/>
          <w:sz w:val="24"/>
          <w:szCs w:val="24"/>
        </w:rPr>
        <w:t xml:space="preserve">Pitch Deck Builder</w:t>
      </w:r>
    </w:p>
    <w:p>
      <w:pPr>
        <w:pStyle w:val="ListParagraph"/>
        <w:numPr>
          <w:ilvl w:val="0"/>
          <w:numId w:val="2"/>
        </w:numPr>
        <w:spacing w:before="40" w:after="40" w:line="300"/>
      </w:pPr>
      <w:r>
        <w:rPr>
          <w:rFonts w:ascii="Arial" w:cs="Arial" w:eastAsia="Arial" w:hAnsi="Arial"/>
          <w:color w:val="1A2418"/>
          <w:sz w:val="22"/>
          <w:szCs w:val="22"/>
        </w:rPr>
        <w:t xml:space="preserve">Constructeur de deck structuré en 12 sections standards (Problème, Solution, Marché, Modèle économique, Traction, Équipe, Financier, Levée, Roadmap, Concurrence, Pourquoi maintenant, Appel à l'action)</w:t>
      </w:r>
    </w:p>
    <w:p>
      <w:pPr>
        <w:pStyle w:val="ListParagraph"/>
        <w:numPr>
          <w:ilvl w:val="0"/>
          <w:numId w:val="2"/>
        </w:numPr>
        <w:spacing w:before="40" w:after="40" w:line="300"/>
      </w:pPr>
      <w:r>
        <w:rPr>
          <w:rFonts w:ascii="Arial" w:cs="Arial" w:eastAsia="Arial" w:hAnsi="Arial"/>
          <w:color w:val="1A2418"/>
          <w:sz w:val="22"/>
          <w:szCs w:val="22"/>
        </w:rPr>
        <w:t xml:space="preserve">Évaluation IA automatique — score sur 5 avec détail par section et recommandations</w:t>
      </w:r>
    </w:p>
    <w:p>
      <w:pPr>
        <w:pStyle w:val="ListParagraph"/>
        <w:numPr>
          <w:ilvl w:val="0"/>
          <w:numId w:val="2"/>
        </w:numPr>
        <w:spacing w:before="40" w:after="40" w:line="300"/>
      </w:pPr>
      <w:r>
        <w:rPr>
          <w:rFonts w:ascii="Arial" w:cs="Arial" w:eastAsia="Arial" w:hAnsi="Arial"/>
          <w:color w:val="1A2418"/>
          <w:sz w:val="22"/>
          <w:szCs w:val="22"/>
        </w:rPr>
        <w:t xml:space="preserve">Export PDF, partage sécurisé via lien unique avec tracking des consultations (nom, date, durée)</w:t>
      </w:r>
    </w:p>
    <w:p>
      <w:pPr>
        <w:pStyle w:val="ListParagraph"/>
        <w:numPr>
          <w:ilvl w:val="0"/>
          <w:numId w:val="2"/>
        </w:numPr>
        <w:spacing w:before="40" w:after="40" w:line="300"/>
      </w:pPr>
      <w:r>
        <w:rPr>
          <w:rFonts w:ascii="Arial" w:cs="Arial" w:eastAsia="Arial" w:hAnsi="Arial"/>
          <w:color w:val="1A2418"/>
          <w:sz w:val="22"/>
          <w:szCs w:val="22"/>
        </w:rPr>
        <w:t xml:space="preserve">Historique des versions avec comparaison de scores</w:t>
      </w:r>
    </w:p>
    <w:p>
      <w:pPr>
        <w:pStyle w:val="Heading3"/>
        <w:spacing w:before="200" w:after="80"/>
      </w:pPr>
      <w:r>
        <w:rPr>
          <w:rFonts w:ascii="Arial" w:cs="Arial" w:eastAsia="Arial" w:hAnsi="Arial"/>
          <w:b/>
          <w:bCs/>
          <w:color w:val="4A5E45"/>
          <w:sz w:val="24"/>
          <w:szCs w:val="24"/>
        </w:rPr>
        <w:t xml:space="preserve">Fundraising Tracker</w:t>
      </w:r>
    </w:p>
    <w:p>
      <w:pPr>
        <w:pStyle w:val="ListParagraph"/>
        <w:numPr>
          <w:ilvl w:val="0"/>
          <w:numId w:val="2"/>
        </w:numPr>
        <w:spacing w:before="40" w:after="40" w:line="300"/>
      </w:pPr>
      <w:r>
        <w:rPr>
          <w:rFonts w:ascii="Arial" w:cs="Arial" w:eastAsia="Arial" w:hAnsi="Arial"/>
          <w:color w:val="1A2418"/>
          <w:sz w:val="22"/>
          <w:szCs w:val="22"/>
        </w:rPr>
        <w:t xml:space="preserve">Pipeline investisseurs en kanban — colonnes : Prospection → Prise de contact → Présentation → Term Sheet → Due Diligence → Closing → Portfolio</w:t>
      </w:r>
    </w:p>
    <w:p>
      <w:pPr>
        <w:pStyle w:val="ListParagraph"/>
        <w:numPr>
          <w:ilvl w:val="0"/>
          <w:numId w:val="2"/>
        </w:numPr>
        <w:spacing w:before="40" w:after="40" w:line="300"/>
      </w:pPr>
      <w:r>
        <w:rPr>
          <w:rFonts w:ascii="Arial" w:cs="Arial" w:eastAsia="Arial" w:hAnsi="Arial"/>
          <w:color w:val="1A2418"/>
          <w:sz w:val="22"/>
          <w:szCs w:val="22"/>
        </w:rPr>
        <w:t xml:space="preserve">Fiches investisseurs enrichies — secteur, ticket type, portfolio, contacts, notes de réunion</w:t>
      </w:r>
    </w:p>
    <w:p>
      <w:pPr>
        <w:pStyle w:val="ListParagraph"/>
        <w:numPr>
          <w:ilvl w:val="0"/>
          <w:numId w:val="2"/>
        </w:numPr>
        <w:spacing w:before="40" w:after="40" w:line="300"/>
      </w:pPr>
      <w:r>
        <w:rPr>
          <w:rFonts w:ascii="Arial" w:cs="Arial" w:eastAsia="Arial" w:hAnsi="Arial"/>
          <w:color w:val="1A2418"/>
          <w:sz w:val="22"/>
          <w:szCs w:val="22"/>
        </w:rPr>
        <w:t xml:space="preserve">Data room intégrée — upload et organisation des documents (cap table, financiers, juridique, produit)</w:t>
      </w:r>
    </w:p>
    <w:p>
      <w:pPr>
        <w:pStyle w:val="ListParagraph"/>
        <w:numPr>
          <w:ilvl w:val="0"/>
          <w:numId w:val="2"/>
        </w:numPr>
        <w:spacing w:before="40" w:after="40" w:line="300"/>
      </w:pPr>
      <w:r>
        <w:rPr>
          <w:rFonts w:ascii="Arial" w:cs="Arial" w:eastAsia="Arial" w:hAnsi="Arial"/>
          <w:color w:val="1A2418"/>
          <w:sz w:val="22"/>
          <w:szCs w:val="22"/>
        </w:rPr>
        <w:t xml:space="preserve">Modèle financier interactif — projections MRR/ARR sur 36 mois, dilution, valorisation</w:t>
      </w:r>
    </w:p>
    <w:p>
      <w:pPr>
        <w:pStyle w:val="ListParagraph"/>
        <w:numPr>
          <w:ilvl w:val="0"/>
          <w:numId w:val="2"/>
        </w:numPr>
        <w:spacing w:before="40" w:after="40" w:line="300"/>
      </w:pPr>
      <w:r>
        <w:rPr>
          <w:rFonts w:ascii="Arial" w:cs="Arial" w:eastAsia="Arial" w:hAnsi="Arial"/>
          <w:color w:val="1A2418"/>
          <w:sz w:val="22"/>
          <w:szCs w:val="22"/>
        </w:rPr>
        <w:t xml:space="preserve">Suivi du tour — montant levé vs objectif, investisseurs confirmés, closing estimé</w:t>
      </w:r>
    </w:p>
    <w:p>
      <w:pPr>
        <w:pStyle w:val="Heading3"/>
        <w:spacing w:before="200" w:after="80"/>
      </w:pPr>
      <w:r>
        <w:rPr>
          <w:rFonts w:ascii="Arial" w:cs="Arial" w:eastAsia="Arial" w:hAnsi="Arial"/>
          <w:b/>
          <w:bCs/>
          <w:color w:val="4A5E45"/>
          <w:sz w:val="24"/>
          <w:szCs w:val="24"/>
        </w:rPr>
        <w:t xml:space="preserve">Roadmap produit</w:t>
      </w:r>
    </w:p>
    <w:p>
      <w:pPr>
        <w:pStyle w:val="ListParagraph"/>
        <w:numPr>
          <w:ilvl w:val="0"/>
          <w:numId w:val="2"/>
        </w:numPr>
        <w:spacing w:before="40" w:after="40" w:line="300"/>
      </w:pPr>
      <w:r>
        <w:rPr>
          <w:rFonts w:ascii="Arial" w:cs="Arial" w:eastAsia="Arial" w:hAnsi="Arial"/>
          <w:color w:val="1A2418"/>
          <w:sz w:val="22"/>
          <w:szCs w:val="22"/>
        </w:rPr>
        <w:t xml:space="preserve">Planification sur 4 trimestres avec épics, user stories, statuts (À faire / En cours / Terminé / Bloqué)</w:t>
      </w:r>
    </w:p>
    <w:p>
      <w:pPr>
        <w:pStyle w:val="ListParagraph"/>
        <w:numPr>
          <w:ilvl w:val="0"/>
          <w:numId w:val="2"/>
        </w:numPr>
        <w:spacing w:before="40" w:after="40" w:line="300"/>
      </w:pPr>
      <w:r>
        <w:rPr>
          <w:rFonts w:ascii="Arial" w:cs="Arial" w:eastAsia="Arial" w:hAnsi="Arial"/>
          <w:color w:val="1A2418"/>
          <w:sz w:val="22"/>
          <w:szCs w:val="22"/>
        </w:rPr>
        <w:t xml:space="preserve">Lien entre fonctionnalités roadmap et KPIs business — impact estimé</w:t>
      </w:r>
    </w:p>
    <w:p>
      <w:pPr>
        <w:pStyle w:val="ListParagraph"/>
        <w:numPr>
          <w:ilvl w:val="0"/>
          <w:numId w:val="2"/>
        </w:numPr>
        <w:spacing w:before="40" w:after="40" w:line="300"/>
      </w:pPr>
      <w:r>
        <w:rPr>
          <w:rFonts w:ascii="Arial" w:cs="Arial" w:eastAsia="Arial" w:hAnsi="Arial"/>
          <w:color w:val="1A2418"/>
          <w:sz w:val="22"/>
          <w:szCs w:val="22"/>
        </w:rPr>
        <w:t xml:space="preserve">Partage de la roadmap en lecture seule avec les investisseurs</w:t>
      </w:r>
    </w:p>
    <w:p>
      <w:pPr>
        <w:pStyle w:val="Heading3"/>
        <w:spacing w:before="200" w:after="80"/>
      </w:pPr>
      <w:r>
        <w:rPr>
          <w:rFonts w:ascii="Arial" w:cs="Arial" w:eastAsia="Arial" w:hAnsi="Arial"/>
          <w:b/>
          <w:bCs/>
          <w:color w:val="4A5E45"/>
          <w:sz w:val="24"/>
          <w:szCs w:val="24"/>
        </w:rPr>
        <w:t xml:space="preserve">Équipe</w:t>
      </w:r>
    </w:p>
    <w:p>
      <w:pPr>
        <w:pStyle w:val="ListParagraph"/>
        <w:numPr>
          <w:ilvl w:val="0"/>
          <w:numId w:val="2"/>
        </w:numPr>
        <w:spacing w:before="40" w:after="40" w:line="300"/>
      </w:pPr>
      <w:r>
        <w:rPr>
          <w:rFonts w:ascii="Arial" w:cs="Arial" w:eastAsia="Arial" w:hAnsi="Arial"/>
          <w:color w:val="1A2418"/>
          <w:sz w:val="22"/>
          <w:szCs w:val="22"/>
        </w:rPr>
        <w:t xml:space="preserve">Organigramme avec rôles, responsabilités et date d'arrivée</w:t>
      </w:r>
    </w:p>
    <w:p>
      <w:pPr>
        <w:pStyle w:val="ListParagraph"/>
        <w:numPr>
          <w:ilvl w:val="0"/>
          <w:numId w:val="2"/>
        </w:numPr>
        <w:spacing w:before="40" w:after="40" w:line="300"/>
      </w:pPr>
      <w:r>
        <w:rPr>
          <w:rFonts w:ascii="Arial" w:cs="Arial" w:eastAsia="Arial" w:hAnsi="Arial"/>
          <w:color w:val="1A2418"/>
          <w:sz w:val="22"/>
          <w:szCs w:val="22"/>
        </w:rPr>
        <w:t xml:space="preserve">Suivi des BSPCE et equity par membre</w:t>
      </w:r>
    </w:p>
    <w:p>
      <w:pPr>
        <w:pStyle w:val="ListParagraph"/>
        <w:numPr>
          <w:ilvl w:val="0"/>
          <w:numId w:val="2"/>
        </w:numPr>
        <w:spacing w:before="40" w:after="40" w:line="300"/>
      </w:pPr>
      <w:r>
        <w:rPr>
          <w:rFonts w:ascii="Arial" w:cs="Arial" w:eastAsia="Arial" w:hAnsi="Arial"/>
          <w:color w:val="1A2418"/>
          <w:sz w:val="22"/>
          <w:szCs w:val="22"/>
        </w:rPr>
        <w:t xml:space="preserve">Onboarding tracker — checklist pour les nouvelles recrues</w:t>
      </w:r>
    </w:p>
    <w:p>
      <w:pPr>
        <w:pStyle w:val="Heading3"/>
        <w:spacing w:before="200" w:after="80"/>
      </w:pPr>
      <w:r>
        <w:rPr>
          <w:rFonts w:ascii="Arial" w:cs="Arial" w:eastAsia="Arial" w:hAnsi="Arial"/>
          <w:b/>
          <w:bCs/>
          <w:color w:val="4A5E45"/>
          <w:sz w:val="24"/>
          <w:szCs w:val="24"/>
        </w:rPr>
        <w:t xml:space="preserve">Légal &amp; Conformité</w:t>
      </w:r>
    </w:p>
    <w:p>
      <w:pPr>
        <w:pStyle w:val="ListParagraph"/>
        <w:numPr>
          <w:ilvl w:val="0"/>
          <w:numId w:val="2"/>
        </w:numPr>
        <w:spacing w:before="40" w:after="40" w:line="300"/>
      </w:pPr>
      <w:r>
        <w:rPr>
          <w:rFonts w:ascii="Arial" w:cs="Arial" w:eastAsia="Arial" w:hAnsi="Arial"/>
          <w:color w:val="1A2418"/>
          <w:sz w:val="22"/>
          <w:szCs w:val="22"/>
        </w:rPr>
        <w:t xml:space="preserve">Suivi des obligations légales — KBIS, statuts, marques, brevets, CGU/CGV, RGPD</w:t>
      </w:r>
    </w:p>
    <w:p>
      <w:pPr>
        <w:pStyle w:val="ListParagraph"/>
        <w:numPr>
          <w:ilvl w:val="0"/>
          <w:numId w:val="2"/>
        </w:numPr>
        <w:spacing w:before="40" w:after="40" w:line="300"/>
      </w:pPr>
      <w:r>
        <w:rPr>
          <w:rFonts w:ascii="Arial" w:cs="Arial" w:eastAsia="Arial" w:hAnsi="Arial"/>
          <w:color w:val="1A2418"/>
          <w:sz w:val="22"/>
          <w:szCs w:val="22"/>
        </w:rPr>
        <w:t xml:space="preserve">Bibliothèque de documents types — NDA, pacte d'actionnaires, contrats freelance</w:t>
      </w:r>
    </w:p>
    <w:p>
      <w:pPr>
        <w:pStyle w:val="ListParagraph"/>
        <w:numPr>
          <w:ilvl w:val="0"/>
          <w:numId w:val="2"/>
        </w:numPr>
        <w:spacing w:before="40" w:after="40" w:line="300"/>
      </w:pPr>
      <w:r>
        <w:rPr>
          <w:rFonts w:ascii="Arial" w:cs="Arial" w:eastAsia="Arial" w:hAnsi="Arial"/>
          <w:color w:val="1A2418"/>
          <w:sz w:val="22"/>
          <w:szCs w:val="22"/>
        </w:rPr>
        <w:t xml:space="preserve">Alertes d'échéance — renouvellements, déclarations fiscales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2.2 Profil Investisseur — Détail fonctionnel</w:t>
      </w:r>
    </w:p>
    <w:p>
      <w:pPr>
        <w:pStyle w:val="Heading3"/>
        <w:spacing w:before="200" w:after="80"/>
      </w:pPr>
      <w:r>
        <w:rPr>
          <w:rFonts w:ascii="Arial" w:cs="Arial" w:eastAsia="Arial" w:hAnsi="Arial"/>
          <w:b/>
          <w:bCs/>
          <w:color w:val="4A5E45"/>
          <w:sz w:val="24"/>
          <w:szCs w:val="24"/>
        </w:rPr>
        <w:t xml:space="preserve">Deal Flow</w:t>
      </w:r>
    </w:p>
    <w:p>
      <w:pPr>
        <w:pStyle w:val="ListParagraph"/>
        <w:numPr>
          <w:ilvl w:val="0"/>
          <w:numId w:val="2"/>
        </w:numPr>
        <w:spacing w:before="40" w:after="40" w:line="300"/>
      </w:pPr>
      <w:r>
        <w:rPr>
          <w:rFonts w:ascii="Arial" w:cs="Arial" w:eastAsia="Arial" w:hAnsi="Arial"/>
          <w:color w:val="1A2418"/>
          <w:sz w:val="22"/>
          <w:szCs w:val="22"/>
        </w:rPr>
        <w:t xml:space="preserve">Kanban de pipeline avec drag &amp; drop entre les étapes</w:t>
      </w:r>
    </w:p>
    <w:p>
      <w:pPr>
        <w:pStyle w:val="ListParagraph"/>
        <w:numPr>
          <w:ilvl w:val="0"/>
          <w:numId w:val="2"/>
        </w:numPr>
        <w:spacing w:before="40" w:after="40" w:line="300"/>
      </w:pPr>
      <w:r>
        <w:rPr>
          <w:rFonts w:ascii="Arial" w:cs="Arial" w:eastAsia="Arial" w:hAnsi="Arial"/>
          <w:color w:val="1A2418"/>
          <w:sz w:val="22"/>
          <w:szCs w:val="22"/>
        </w:rPr>
        <w:t xml:space="preserve">Fiche deal enrichie — score IA, secteur, stade, montant demandé, traction, équipe, pitch deck</w:t>
      </w:r>
    </w:p>
    <w:p>
      <w:pPr>
        <w:pStyle w:val="ListParagraph"/>
        <w:numPr>
          <w:ilvl w:val="0"/>
          <w:numId w:val="2"/>
        </w:numPr>
        <w:spacing w:before="40" w:after="40" w:line="300"/>
      </w:pPr>
      <w:r>
        <w:rPr>
          <w:rFonts w:ascii="Arial" w:cs="Arial" w:eastAsia="Arial" w:hAnsi="Arial"/>
          <w:color w:val="1A2418"/>
          <w:sz w:val="22"/>
          <w:szCs w:val="22"/>
        </w:rPr>
        <w:t xml:space="preserve">Filtres avancés — secteur, stade, zone géographique, ticket, type de fondateur</w:t>
      </w:r>
    </w:p>
    <w:p>
      <w:pPr>
        <w:pStyle w:val="ListParagraph"/>
        <w:numPr>
          <w:ilvl w:val="0"/>
          <w:numId w:val="2"/>
        </w:numPr>
        <w:spacing w:before="40" w:after="40" w:line="300"/>
      </w:pPr>
      <w:r>
        <w:rPr>
          <w:rFonts w:ascii="Arial" w:cs="Arial" w:eastAsia="Arial" w:hAnsi="Arial"/>
          <w:color w:val="1A2418"/>
          <w:sz w:val="22"/>
          <w:szCs w:val="22"/>
        </w:rPr>
        <w:t xml:space="preserve">Algorithme de scoring IA — note les deals selon les critères de l'investisseur</w:t>
      </w:r>
    </w:p>
    <w:p>
      <w:pPr>
        <w:pStyle w:val="ListParagraph"/>
        <w:numPr>
          <w:ilvl w:val="0"/>
          <w:numId w:val="2"/>
        </w:numPr>
        <w:spacing w:before="40" w:after="40" w:line="300"/>
      </w:pPr>
      <w:r>
        <w:rPr>
          <w:rFonts w:ascii="Arial" w:cs="Arial" w:eastAsia="Arial" w:hAnsi="Arial"/>
          <w:color w:val="1A2418"/>
          <w:sz w:val="22"/>
          <w:szCs w:val="22"/>
        </w:rPr>
        <w:t xml:space="preserve">Partenariat avec les startups GrowHubLink — deal flow entrant exclusif</w:t>
      </w:r>
    </w:p>
    <w:p>
      <w:pPr>
        <w:pStyle w:val="Heading3"/>
        <w:spacing w:before="200" w:after="80"/>
      </w:pPr>
      <w:r>
        <w:rPr>
          <w:rFonts w:ascii="Arial" w:cs="Arial" w:eastAsia="Arial" w:hAnsi="Arial"/>
          <w:b/>
          <w:bCs/>
          <w:color w:val="4A5E45"/>
          <w:sz w:val="24"/>
          <w:szCs w:val="24"/>
        </w:rPr>
        <w:t xml:space="preserve">Due Diligence</w:t>
      </w:r>
    </w:p>
    <w:p>
      <w:pPr>
        <w:pStyle w:val="ListParagraph"/>
        <w:numPr>
          <w:ilvl w:val="0"/>
          <w:numId w:val="2"/>
        </w:numPr>
        <w:spacing w:before="40" w:after="40" w:line="300"/>
      </w:pPr>
      <w:r>
        <w:rPr>
          <w:rFonts w:ascii="Arial" w:cs="Arial" w:eastAsia="Arial" w:hAnsi="Arial"/>
          <w:color w:val="1A2418"/>
          <w:sz w:val="22"/>
          <w:szCs w:val="22"/>
        </w:rPr>
        <w:t xml:space="preserve">Checklist structurée en 6 domaines — Juridique, Financier, Produit, Marché, Équipe, Technique</w:t>
      </w:r>
    </w:p>
    <w:p>
      <w:pPr>
        <w:pStyle w:val="ListParagraph"/>
        <w:numPr>
          <w:ilvl w:val="0"/>
          <w:numId w:val="2"/>
        </w:numPr>
        <w:spacing w:before="40" w:after="40" w:line="300"/>
      </w:pPr>
      <w:r>
        <w:rPr>
          <w:rFonts w:ascii="Arial" w:cs="Arial" w:eastAsia="Arial" w:hAnsi="Arial"/>
          <w:color w:val="1A2418"/>
          <w:sz w:val="22"/>
          <w:szCs w:val="22"/>
        </w:rPr>
        <w:t xml:space="preserve">Espace de notes par domaine avec statut (OK / À vérifier / Bloquant)</w:t>
      </w:r>
    </w:p>
    <w:p>
      <w:pPr>
        <w:pStyle w:val="ListParagraph"/>
        <w:numPr>
          <w:ilvl w:val="0"/>
          <w:numId w:val="2"/>
        </w:numPr>
        <w:spacing w:before="40" w:after="40" w:line="300"/>
      </w:pPr>
      <w:r>
        <w:rPr>
          <w:rFonts w:ascii="Arial" w:cs="Arial" w:eastAsia="Arial" w:hAnsi="Arial"/>
          <w:color w:val="1A2418"/>
          <w:sz w:val="22"/>
          <w:szCs w:val="22"/>
        </w:rPr>
        <w:t xml:space="preserve">Accès sécurisé à la data room de la startup (avec accord signé)</w:t>
      </w:r>
    </w:p>
    <w:p>
      <w:pPr>
        <w:pStyle w:val="ListParagraph"/>
        <w:numPr>
          <w:ilvl w:val="0"/>
          <w:numId w:val="2"/>
        </w:numPr>
        <w:spacing w:before="40" w:after="40" w:line="300"/>
      </w:pPr>
      <w:r>
        <w:rPr>
          <w:rFonts w:ascii="Arial" w:cs="Arial" w:eastAsia="Arial" w:hAnsi="Arial"/>
          <w:color w:val="1A2418"/>
          <w:sz w:val="22"/>
          <w:szCs w:val="22"/>
        </w:rPr>
        <w:t xml:space="preserve">Décision investissement documentée avec justification</w:t>
      </w:r>
    </w:p>
    <w:p>
      <w:pPr>
        <w:pStyle w:val="Heading3"/>
        <w:spacing w:before="200" w:after="80"/>
      </w:pPr>
      <w:r>
        <w:rPr>
          <w:rFonts w:ascii="Arial" w:cs="Arial" w:eastAsia="Arial" w:hAnsi="Arial"/>
          <w:b/>
          <w:bCs/>
          <w:color w:val="4A5E45"/>
          <w:sz w:val="24"/>
          <w:szCs w:val="24"/>
        </w:rPr>
        <w:t xml:space="preserve">Portfolio &amp; LP Reporting</w:t>
      </w:r>
    </w:p>
    <w:p>
      <w:pPr>
        <w:pStyle w:val="ListParagraph"/>
        <w:numPr>
          <w:ilvl w:val="0"/>
          <w:numId w:val="2"/>
        </w:numPr>
        <w:spacing w:before="40" w:after="40" w:line="300"/>
      </w:pPr>
      <w:r>
        <w:rPr>
          <w:rFonts w:ascii="Arial" w:cs="Arial" w:eastAsia="Arial" w:hAnsi="Arial"/>
          <w:color w:val="1A2418"/>
          <w:sz w:val="22"/>
          <w:szCs w:val="22"/>
        </w:rPr>
        <w:t xml:space="preserve">Tableau de bord portfolio — valorisation par participation, MOIC, IRR global</w:t>
      </w:r>
    </w:p>
    <w:p>
      <w:pPr>
        <w:pStyle w:val="ListParagraph"/>
        <w:numPr>
          <w:ilvl w:val="0"/>
          <w:numId w:val="2"/>
        </w:numPr>
        <w:spacing w:before="40" w:after="40" w:line="300"/>
      </w:pPr>
      <w:r>
        <w:rPr>
          <w:rFonts w:ascii="Arial" w:cs="Arial" w:eastAsia="Arial" w:hAnsi="Arial"/>
          <w:color w:val="1A2418"/>
          <w:sz w:val="22"/>
          <w:szCs w:val="22"/>
        </w:rPr>
        <w:t xml:space="preserve">Suivi des milestones post-investissement par startup</w:t>
      </w:r>
    </w:p>
    <w:p>
      <w:pPr>
        <w:pStyle w:val="ListParagraph"/>
        <w:numPr>
          <w:ilvl w:val="0"/>
          <w:numId w:val="2"/>
        </w:numPr>
        <w:spacing w:before="40" w:after="40" w:line="300"/>
      </w:pPr>
      <w:r>
        <w:rPr>
          <w:rFonts w:ascii="Arial" w:cs="Arial" w:eastAsia="Arial" w:hAnsi="Arial"/>
          <w:color w:val="1A2418"/>
          <w:sz w:val="22"/>
          <w:szCs w:val="22"/>
        </w:rPr>
        <w:t xml:space="preserve">Génération automatique du rapport trimestriel LPs — format PDF ou Excel</w:t>
      </w:r>
    </w:p>
    <w:p>
      <w:pPr>
        <w:pStyle w:val="ListParagraph"/>
        <w:numPr>
          <w:ilvl w:val="0"/>
          <w:numId w:val="2"/>
        </w:numPr>
        <w:spacing w:before="40" w:after="40" w:line="300"/>
      </w:pPr>
      <w:r>
        <w:rPr>
          <w:rFonts w:ascii="Arial" w:cs="Arial" w:eastAsia="Arial" w:hAnsi="Arial"/>
          <w:color w:val="1A2418"/>
          <w:sz w:val="22"/>
          <w:szCs w:val="22"/>
        </w:rPr>
        <w:t xml:space="preserve">Alertes — nouvelles levées, exits, difficultés détectées dans le portfolio</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2.3 Profil Mentor/Expert — Détail fonctionnel</w:t>
      </w:r>
    </w:p>
    <w:p>
      <w:pPr>
        <w:pStyle w:val="ListParagraph"/>
        <w:numPr>
          <w:ilvl w:val="0"/>
          <w:numId w:val="2"/>
        </w:numPr>
        <w:spacing w:before="40" w:after="40" w:line="300"/>
      </w:pPr>
      <w:r>
        <w:rPr>
          <w:rFonts w:ascii="Arial" w:cs="Arial" w:eastAsia="Arial" w:hAnsi="Arial"/>
          <w:color w:val="1A2418"/>
          <w:sz w:val="22"/>
          <w:szCs w:val="22"/>
        </w:rPr>
        <w:t xml:space="preserve">Gestion granulaire des disponibilités — calendrier hebdomadaire avec créneaux ouverts/fermés</w:t>
      </w:r>
    </w:p>
    <w:p>
      <w:pPr>
        <w:pStyle w:val="ListParagraph"/>
        <w:numPr>
          <w:ilvl w:val="0"/>
          <w:numId w:val="2"/>
        </w:numPr>
        <w:spacing w:before="40" w:after="40" w:line="300"/>
      </w:pPr>
      <w:r>
        <w:rPr>
          <w:rFonts w:ascii="Arial" w:cs="Arial" w:eastAsia="Arial" w:hAnsi="Arial"/>
          <w:color w:val="1A2418"/>
          <w:sz w:val="22"/>
          <w:szCs w:val="22"/>
        </w:rPr>
        <w:t xml:space="preserve">Tarification flexible — tarif horaire, par session, forfait mensuel, premier appel gratuit</w:t>
      </w:r>
    </w:p>
    <w:p>
      <w:pPr>
        <w:pStyle w:val="ListParagraph"/>
        <w:numPr>
          <w:ilvl w:val="0"/>
          <w:numId w:val="2"/>
        </w:numPr>
        <w:spacing w:before="40" w:after="40" w:line="300"/>
      </w:pPr>
      <w:r>
        <w:rPr>
          <w:rFonts w:ascii="Arial" w:cs="Arial" w:eastAsia="Arial" w:hAnsi="Arial"/>
          <w:color w:val="1A2418"/>
          <w:sz w:val="22"/>
          <w:szCs w:val="22"/>
        </w:rPr>
        <w:t xml:space="preserve">Tableau de bord mentorés — fiche individuelle, historique de sessions, progression, notes</w:t>
      </w:r>
    </w:p>
    <w:p>
      <w:pPr>
        <w:pStyle w:val="ListParagraph"/>
        <w:numPr>
          <w:ilvl w:val="0"/>
          <w:numId w:val="2"/>
        </w:numPr>
        <w:spacing w:before="40" w:after="40" w:line="300"/>
      </w:pPr>
      <w:r>
        <w:rPr>
          <w:rFonts w:ascii="Arial" w:cs="Arial" w:eastAsia="Arial" w:hAnsi="Arial"/>
          <w:color w:val="1A2418"/>
          <w:sz w:val="22"/>
          <w:szCs w:val="22"/>
        </w:rPr>
        <w:t xml:space="preserve">Bibliothèque de ressources partagée — templates, guides, exercices, organisés par thème</w:t>
      </w:r>
    </w:p>
    <w:p>
      <w:pPr>
        <w:pStyle w:val="ListParagraph"/>
        <w:numPr>
          <w:ilvl w:val="0"/>
          <w:numId w:val="2"/>
        </w:numPr>
        <w:spacing w:before="40" w:after="40" w:line="300"/>
      </w:pPr>
      <w:r>
        <w:rPr>
          <w:rFonts w:ascii="Arial" w:cs="Arial" w:eastAsia="Arial" w:hAnsi="Arial"/>
          <w:color w:val="1A2418"/>
          <w:sz w:val="22"/>
          <w:szCs w:val="22"/>
        </w:rPr>
        <w:t xml:space="preserve">Suivi financier — CA mensuel, objectif, taux de rebook, avis clients avec notes détaillées</w:t>
      </w:r>
    </w:p>
    <w:p>
      <w:pPr>
        <w:pStyle w:val="ListParagraph"/>
        <w:numPr>
          <w:ilvl w:val="0"/>
          <w:numId w:val="2"/>
        </w:numPr>
        <w:spacing w:before="40" w:after="40" w:line="300"/>
      </w:pPr>
      <w:r>
        <w:rPr>
          <w:rFonts w:ascii="Arial" w:cs="Arial" w:eastAsia="Arial" w:hAnsi="Arial"/>
          <w:color w:val="1A2418"/>
          <w:sz w:val="22"/>
          <w:szCs w:val="22"/>
        </w:rPr>
        <w:t xml:space="preserve">Profil public dans la Marketplace — visible pour tous les utilisateurs GrowHubLink</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2.4 Profil Freelance — Détail fonctionnel</w:t>
      </w:r>
    </w:p>
    <w:p>
      <w:pPr>
        <w:pStyle w:val="ListParagraph"/>
        <w:numPr>
          <w:ilvl w:val="0"/>
          <w:numId w:val="2"/>
        </w:numPr>
        <w:spacing w:before="40" w:after="40" w:line="300"/>
      </w:pPr>
      <w:r>
        <w:rPr>
          <w:rFonts w:ascii="Arial" w:cs="Arial" w:eastAsia="Arial" w:hAnsi="Arial"/>
          <w:color w:val="1A2418"/>
          <w:sz w:val="22"/>
          <w:szCs w:val="22"/>
        </w:rPr>
        <w:t xml:space="preserve">Tableau de bord missions — client, mission, TJM, avancement (barre de progression), période</w:t>
      </w:r>
    </w:p>
    <w:p>
      <w:pPr>
        <w:pStyle w:val="ListParagraph"/>
        <w:numPr>
          <w:ilvl w:val="0"/>
          <w:numId w:val="2"/>
        </w:numPr>
        <w:spacing w:before="40" w:after="40" w:line="300"/>
      </w:pPr>
      <w:r>
        <w:rPr>
          <w:rFonts w:ascii="Arial" w:cs="Arial" w:eastAsia="Arial" w:hAnsi="Arial"/>
          <w:color w:val="1A2418"/>
          <w:sz w:val="22"/>
          <w:szCs w:val="22"/>
        </w:rPr>
        <w:t xml:space="preserve">Gestion des prospects — pipeline commercial simplifié : Identifié → Contacté → Devis → Négociation → Gagné/Perdu</w:t>
      </w:r>
    </w:p>
    <w:p>
      <w:pPr>
        <w:pStyle w:val="ListParagraph"/>
        <w:numPr>
          <w:ilvl w:val="0"/>
          <w:numId w:val="2"/>
        </w:numPr>
        <w:spacing w:before="40" w:after="40" w:line="300"/>
      </w:pPr>
      <w:r>
        <w:rPr>
          <w:rFonts w:ascii="Arial" w:cs="Arial" w:eastAsia="Arial" w:hAnsi="Arial"/>
          <w:color w:val="1A2418"/>
          <w:sz w:val="22"/>
          <w:szCs w:val="22"/>
        </w:rPr>
        <w:t xml:space="preserve">Tableau financier — CA mensuel, objectifs trimestriels, comparaison période précédente</w:t>
      </w:r>
    </w:p>
    <w:p>
      <w:pPr>
        <w:pStyle w:val="ListParagraph"/>
        <w:numPr>
          <w:ilvl w:val="0"/>
          <w:numId w:val="2"/>
        </w:numPr>
        <w:spacing w:before="40" w:after="40" w:line="300"/>
      </w:pPr>
      <w:r>
        <w:rPr>
          <w:rFonts w:ascii="Arial" w:cs="Arial" w:eastAsia="Arial" w:hAnsi="Arial"/>
          <w:color w:val="1A2418"/>
          <w:sz w:val="22"/>
          <w:szCs w:val="22"/>
        </w:rPr>
        <w:t xml:space="preserve">Agenda intégré — synchronisation avec les missions et sessions coaching</w:t>
      </w:r>
    </w:p>
    <w:p>
      <w:pPr>
        <w:pStyle w:val="ListParagraph"/>
        <w:numPr>
          <w:ilvl w:val="0"/>
          <w:numId w:val="2"/>
        </w:numPr>
        <w:spacing w:before="40" w:after="40" w:line="300"/>
      </w:pPr>
      <w:r>
        <w:rPr>
          <w:rFonts w:ascii="Arial" w:cs="Arial" w:eastAsia="Arial" w:hAnsi="Arial"/>
          <w:color w:val="1A2418"/>
          <w:sz w:val="22"/>
          <w:szCs w:val="22"/>
        </w:rPr>
        <w:t xml:space="preserve">Accès à la Marketplace pour trouver des missions courtes ou longues durées</w:t>
      </w:r>
    </w:p>
    <w:p>
      <w:pPr>
        <w:pStyle w:val="ListParagraph"/>
        <w:numPr>
          <w:ilvl w:val="0"/>
          <w:numId w:val="2"/>
        </w:numPr>
        <w:spacing w:before="40" w:after="40" w:line="300"/>
      </w:pPr>
      <w:r>
        <w:rPr>
          <w:rFonts w:ascii="Arial" w:cs="Arial" w:eastAsia="Arial" w:hAnsi="Arial"/>
          <w:color w:val="1A2418"/>
          <w:sz w:val="22"/>
          <w:szCs w:val="22"/>
        </w:rPr>
        <w:t xml:space="preserve">Réseau — connexions avec startups en recherche active de freelances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2.5 Profil Incubateur — Détail fonctionnel</w:t>
      </w:r>
    </w:p>
    <w:p>
      <w:pPr>
        <w:pStyle w:val="ListParagraph"/>
        <w:numPr>
          <w:ilvl w:val="0"/>
          <w:numId w:val="2"/>
        </w:numPr>
        <w:spacing w:before="40" w:after="40" w:line="300"/>
      </w:pPr>
      <w:r>
        <w:rPr>
          <w:rFonts w:ascii="Arial" w:cs="Arial" w:eastAsia="Arial" w:hAnsi="Arial"/>
          <w:color w:val="1A2418"/>
          <w:sz w:val="22"/>
          <w:szCs w:val="22"/>
        </w:rPr>
        <w:t xml:space="preserve">Formulaire de candidature personnalisable — critères secteur, stade, critères d'éligibilité</w:t>
      </w:r>
    </w:p>
    <w:p>
      <w:pPr>
        <w:pStyle w:val="ListParagraph"/>
        <w:numPr>
          <w:ilvl w:val="0"/>
          <w:numId w:val="2"/>
        </w:numPr>
        <w:spacing w:before="40" w:after="40" w:line="300"/>
      </w:pPr>
      <w:r>
        <w:rPr>
          <w:rFonts w:ascii="Arial" w:cs="Arial" w:eastAsia="Arial" w:hAnsi="Arial"/>
          <w:color w:val="1A2418"/>
          <w:sz w:val="22"/>
          <w:szCs w:val="22"/>
        </w:rPr>
        <w:t xml:space="preserve">Tableau de sélection — scoring candidats, shortlist, comités, décisions</w:t>
      </w:r>
    </w:p>
    <w:p>
      <w:pPr>
        <w:pStyle w:val="ListParagraph"/>
        <w:numPr>
          <w:ilvl w:val="0"/>
          <w:numId w:val="2"/>
        </w:numPr>
        <w:spacing w:before="40" w:after="40" w:line="300"/>
      </w:pPr>
      <w:r>
        <w:rPr>
          <w:rFonts w:ascii="Arial" w:cs="Arial" w:eastAsia="Arial" w:hAnsi="Arial"/>
          <w:color w:val="1A2418"/>
          <w:sz w:val="22"/>
          <w:szCs w:val="22"/>
        </w:rPr>
        <w:t xml:space="preserve">Suivi des startups incubées — KPIs individuels, jalons, alertes difficultés</w:t>
      </w:r>
    </w:p>
    <w:p>
      <w:pPr>
        <w:pStyle w:val="ListParagraph"/>
        <w:numPr>
          <w:ilvl w:val="0"/>
          <w:numId w:val="2"/>
        </w:numPr>
        <w:spacing w:before="40" w:after="40" w:line="300"/>
      </w:pPr>
      <w:r>
        <w:rPr>
          <w:rFonts w:ascii="Arial" w:cs="Arial" w:eastAsia="Arial" w:hAnsi="Arial"/>
          <w:color w:val="1A2418"/>
          <w:sz w:val="22"/>
          <w:szCs w:val="22"/>
        </w:rPr>
        <w:t xml:space="preserve">Organisation Demo Day — page événement, inscriptions jury, live pitchs, votes, résultats</w:t>
      </w:r>
    </w:p>
    <w:p>
      <w:pPr>
        <w:pStyle w:val="ListParagraph"/>
        <w:numPr>
          <w:ilvl w:val="0"/>
          <w:numId w:val="2"/>
        </w:numPr>
        <w:spacing w:before="40" w:after="40" w:line="300"/>
      </w:pPr>
      <w:r>
        <w:rPr>
          <w:rFonts w:ascii="Arial" w:cs="Arial" w:eastAsia="Arial" w:hAnsi="Arial"/>
          <w:color w:val="1A2418"/>
          <w:sz w:val="22"/>
          <w:szCs w:val="22"/>
        </w:rPr>
        <w:t xml:space="preserve">Réseau Alumni — suivi post-incubation : levées réalisées, croissance, emplois créés</w:t>
      </w:r>
    </w:p>
    <w:p>
      <w:pPr>
        <w:pStyle w:val="ListParagraph"/>
        <w:numPr>
          <w:ilvl w:val="0"/>
          <w:numId w:val="2"/>
        </w:numPr>
        <w:spacing w:before="40" w:after="40" w:line="300"/>
      </w:pPr>
      <w:r>
        <w:rPr>
          <w:rFonts w:ascii="Arial" w:cs="Arial" w:eastAsia="Arial" w:hAnsi="Arial"/>
          <w:color w:val="1A2418"/>
          <w:sz w:val="22"/>
          <w:szCs w:val="22"/>
        </w:rPr>
        <w:t xml:space="preserve">Gestion des programmes et cohortes — calendrier, ressources, intervenants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2.6 Profil Étudiant — Détail fonctionnel</w:t>
      </w:r>
    </w:p>
    <w:p>
      <w:pPr>
        <w:pStyle w:val="ListParagraph"/>
        <w:numPr>
          <w:ilvl w:val="0"/>
          <w:numId w:val="2"/>
        </w:numPr>
        <w:spacing w:before="40" w:after="40" w:line="300"/>
      </w:pPr>
      <w:r>
        <w:rPr>
          <w:rFonts w:ascii="Arial" w:cs="Arial" w:eastAsia="Arial" w:hAnsi="Arial"/>
          <w:color w:val="1A2418"/>
          <w:sz w:val="22"/>
          <w:szCs w:val="22"/>
        </w:rPr>
        <w:t xml:space="preserve">Progression gamifiée — parcours en étapes avec points, badges débloqués, streak quotidien</w:t>
      </w:r>
    </w:p>
    <w:p>
      <w:pPr>
        <w:pStyle w:val="ListParagraph"/>
        <w:numPr>
          <w:ilvl w:val="0"/>
          <w:numId w:val="2"/>
        </w:numPr>
        <w:spacing w:before="40" w:after="40" w:line="300"/>
      </w:pPr>
      <w:r>
        <w:rPr>
          <w:rFonts w:ascii="Arial" w:cs="Arial" w:eastAsia="Arial" w:hAnsi="Arial"/>
          <w:color w:val="1A2418"/>
          <w:sz w:val="22"/>
          <w:szCs w:val="22"/>
        </w:rPr>
        <w:t xml:space="preserve">Objectifs personnalisés — définition en début de parcours, suivi en temps réel avec barres visuelles</w:t>
      </w:r>
    </w:p>
    <w:p>
      <w:pPr>
        <w:pStyle w:val="ListParagraph"/>
        <w:numPr>
          <w:ilvl w:val="0"/>
          <w:numId w:val="2"/>
        </w:numPr>
        <w:spacing w:before="40" w:after="40" w:line="300"/>
      </w:pPr>
      <w:r>
        <w:rPr>
          <w:rFonts w:ascii="Arial" w:cs="Arial" w:eastAsia="Arial" w:hAnsi="Arial"/>
          <w:color w:val="1A2418"/>
          <w:sz w:val="22"/>
          <w:szCs w:val="22"/>
        </w:rPr>
        <w:t xml:space="preserve">Connexions qualifiées — mise en relation avec fondateurs recruteurs et mentors accessibles étudiants</w:t>
      </w:r>
    </w:p>
    <w:p>
      <w:pPr>
        <w:pStyle w:val="ListParagraph"/>
        <w:numPr>
          <w:ilvl w:val="0"/>
          <w:numId w:val="2"/>
        </w:numPr>
        <w:spacing w:before="40" w:after="40" w:line="300"/>
      </w:pPr>
      <w:r>
        <w:rPr>
          <w:rFonts w:ascii="Arial" w:cs="Arial" w:eastAsia="Arial" w:hAnsi="Arial"/>
          <w:color w:val="1A2418"/>
          <w:sz w:val="22"/>
          <w:szCs w:val="22"/>
        </w:rPr>
        <w:t xml:space="preserve">Accès aux événements — tarif étudiant réduit ou gratuit selon le niveau d'abonnement</w:t>
      </w:r>
    </w:p>
    <w:p>
      <w:pPr>
        <w:pStyle w:val="ListParagraph"/>
        <w:numPr>
          <w:ilvl w:val="0"/>
          <w:numId w:val="2"/>
        </w:numPr>
        <w:spacing w:before="40" w:after="40" w:line="300"/>
      </w:pPr>
      <w:r>
        <w:rPr>
          <w:rFonts w:ascii="Arial" w:cs="Arial" w:eastAsia="Arial" w:hAnsi="Arial"/>
          <w:color w:val="1A2418"/>
          <w:sz w:val="22"/>
          <w:szCs w:val="22"/>
        </w:rPr>
        <w:t xml:space="preserve">Portfolio de projets — showcase des réalisations académiques et extrascolaires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2.7 Profil Aspirationnel (Porteur de projet) — Détail fonctionnel</w:t>
      </w:r>
    </w:p>
    <w:p>
      <w:pPr>
        <w:pStyle w:val="ListParagraph"/>
        <w:numPr>
          <w:ilvl w:val="0"/>
          <w:numId w:val="2"/>
        </w:numPr>
        <w:spacing w:before="40" w:after="40" w:line="300"/>
      </w:pPr>
      <w:r>
        <w:rPr>
          <w:rFonts w:ascii="Arial" w:cs="Arial" w:eastAsia="Arial" w:hAnsi="Arial"/>
          <w:color w:val="1A2418"/>
          <w:sz w:val="22"/>
          <w:szCs w:val="22"/>
        </w:rPr>
        <w:t xml:space="preserve">Parcours guidé en 6 étapes structurées :</w:t>
      </w:r>
    </w:p>
    <w:p>
      <w:pPr>
        <w:pStyle w:val="ListParagraph"/>
        <w:numPr>
          <w:ilvl w:val="1"/>
          <w:numId w:val="2"/>
        </w:numPr>
        <w:spacing w:before="40" w:after="40" w:line="300"/>
      </w:pPr>
      <w:r>
        <w:rPr>
          <w:rFonts w:ascii="Arial" w:cs="Arial" w:eastAsia="Arial" w:hAnsi="Arial"/>
          <w:color w:val="1A2418"/>
          <w:sz w:val="22"/>
          <w:szCs w:val="22"/>
        </w:rPr>
        <w:t xml:space="preserve">Étape 1 — Identifier et valider le problème (interviews utilisateurs, template fourni)</w:t>
      </w:r>
    </w:p>
    <w:p>
      <w:pPr>
        <w:pStyle w:val="ListParagraph"/>
        <w:numPr>
          <w:ilvl w:val="1"/>
          <w:numId w:val="2"/>
        </w:numPr>
        <w:spacing w:before="40" w:after="40" w:line="300"/>
      </w:pPr>
      <w:r>
        <w:rPr>
          <w:rFonts w:ascii="Arial" w:cs="Arial" w:eastAsia="Arial" w:hAnsi="Arial"/>
          <w:color w:val="1A2418"/>
          <w:sz w:val="22"/>
          <w:szCs w:val="22"/>
        </w:rPr>
        <w:t xml:space="preserve">Étape 2 — Valider le concept (landing page test, sondage, LOI)</w:t>
      </w:r>
    </w:p>
    <w:p>
      <w:pPr>
        <w:pStyle w:val="ListParagraph"/>
        <w:numPr>
          <w:ilvl w:val="1"/>
          <w:numId w:val="2"/>
        </w:numPr>
        <w:spacing w:before="40" w:after="40" w:line="300"/>
      </w:pPr>
      <w:r>
        <w:rPr>
          <w:rFonts w:ascii="Arial" w:cs="Arial" w:eastAsia="Arial" w:hAnsi="Arial"/>
          <w:color w:val="1A2418"/>
          <w:sz w:val="22"/>
          <w:szCs w:val="22"/>
        </w:rPr>
        <w:t xml:space="preserve">Étape 3 — Construire le MVP (outils no-code recommandés, checklist)</w:t>
      </w:r>
    </w:p>
    <w:p>
      <w:pPr>
        <w:pStyle w:val="ListParagraph"/>
        <w:numPr>
          <w:ilvl w:val="1"/>
          <w:numId w:val="2"/>
        </w:numPr>
        <w:spacing w:before="40" w:after="40" w:line="300"/>
      </w:pPr>
      <w:r>
        <w:rPr>
          <w:rFonts w:ascii="Arial" w:cs="Arial" w:eastAsia="Arial" w:hAnsi="Arial"/>
          <w:color w:val="1A2418"/>
          <w:sz w:val="22"/>
          <w:szCs w:val="22"/>
        </w:rPr>
        <w:t xml:space="preserve">Étape 4 — Obtenir les 3 premiers clients payants (templates cold email, pitch)</w:t>
      </w:r>
    </w:p>
    <w:p>
      <w:pPr>
        <w:pStyle w:val="ListParagraph"/>
        <w:numPr>
          <w:ilvl w:val="1"/>
          <w:numId w:val="2"/>
        </w:numPr>
        <w:spacing w:before="40" w:after="40" w:line="300"/>
      </w:pPr>
      <w:r>
        <w:rPr>
          <w:rFonts w:ascii="Arial" w:cs="Arial" w:eastAsia="Arial" w:hAnsi="Arial"/>
          <w:color w:val="1A2418"/>
          <w:sz w:val="22"/>
          <w:szCs w:val="22"/>
        </w:rPr>
        <w:t xml:space="preserve">Étape 5 — Structurer juridiquement (statut, CGU, RGPD)</w:t>
      </w:r>
    </w:p>
    <w:p>
      <w:pPr>
        <w:pStyle w:val="ListParagraph"/>
        <w:numPr>
          <w:ilvl w:val="1"/>
          <w:numId w:val="2"/>
        </w:numPr>
        <w:spacing w:before="40" w:after="40" w:line="300"/>
      </w:pPr>
      <w:r>
        <w:rPr>
          <w:rFonts w:ascii="Arial" w:cs="Arial" w:eastAsia="Arial" w:hAnsi="Arial"/>
          <w:color w:val="1A2418"/>
          <w:sz w:val="22"/>
          <w:szCs w:val="22"/>
        </w:rPr>
        <w:t xml:space="preserve">Étape 6 — Préparer le lancement officiel et communiquer</w:t>
      </w:r>
    </w:p>
    <w:p>
      <w:pPr>
        <w:pStyle w:val="ListParagraph"/>
        <w:numPr>
          <w:ilvl w:val="0"/>
          <w:numId w:val="2"/>
        </w:numPr>
        <w:spacing w:before="40" w:after="40" w:line="300"/>
      </w:pPr>
      <w:r>
        <w:rPr>
          <w:rFonts w:ascii="Arial" w:cs="Arial" w:eastAsia="Arial" w:hAnsi="Arial"/>
          <w:color w:val="1A2418"/>
          <w:sz w:val="22"/>
          <w:szCs w:val="22"/>
        </w:rPr>
        <w:t xml:space="preserve">Mentor dédié assigné — matching automatique selon le secteur et les objectifs</w:t>
      </w:r>
    </w:p>
    <w:p>
      <w:pPr>
        <w:pStyle w:val="ListParagraph"/>
        <w:numPr>
          <w:ilvl w:val="0"/>
          <w:numId w:val="2"/>
        </w:numPr>
        <w:spacing w:before="40" w:after="40" w:line="300"/>
      </w:pPr>
      <w:r>
        <w:rPr>
          <w:rFonts w:ascii="Arial" w:cs="Arial" w:eastAsia="Arial" w:hAnsi="Arial"/>
          <w:color w:val="1A2418"/>
          <w:sz w:val="22"/>
          <w:szCs w:val="22"/>
        </w:rPr>
        <w:t xml:space="preserve">Ressources pédagogiques adaptées — podcasts, guides reconversion, études de cas</w:t>
      </w:r>
    </w:p>
    <w:p>
      <w:r>
        <w:br w:type="page"/>
      </w:r>
    </w:p>
    <w:p>
      <w:pPr>
        <w:pStyle w:val="Heading1"/>
        <w:spacing w:before="400" w:after="160"/>
      </w:pPr>
      <w:r>
        <w:rPr>
          <w:rFonts w:ascii="Arial" w:cs="Arial" w:eastAsia="Arial" w:hAnsi="Arial"/>
          <w:b/>
          <w:bCs/>
          <w:color w:val="3A8A00"/>
          <w:sz w:val="40"/>
          <w:szCs w:val="40"/>
        </w:rPr>
        <w:t xml:space="preserve">3. Fonctionnalités transversales</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3.1 Fil d'actualité communautaire (Feed)</w:t>
      </w:r>
    </w:p>
    <w:p>
      <w:pPr>
        <w:spacing w:before="80" w:after="80" w:line="340"/>
        <w:jc w:val="both"/>
      </w:pPr>
      <w:r>
        <w:rPr>
          <w:rFonts w:ascii="Arial" w:cs="Arial" w:eastAsia="Arial" w:hAnsi="Arial"/>
          <w:color w:val="1A2418"/>
          <w:sz w:val="22"/>
          <w:szCs w:val="22"/>
        </w:rPr>
        <w:t xml:space="preserve">Le fil d'actualité est le coeur social de GrowHubLink. Il permet à tous les profils de partager, réagir et commenter en temps réel. Les posts sont stockés de manière partagée et visibles par l'ensemble des membres selon leur visibilité (public / réseau / privé).</w:t>
      </w:r>
    </w:p>
    <w:p>
      <w:pPr>
        <w:pStyle w:val="Heading3"/>
        <w:spacing w:before="200" w:after="80"/>
      </w:pPr>
      <w:r>
        <w:rPr>
          <w:rFonts w:ascii="Arial" w:cs="Arial" w:eastAsia="Arial" w:hAnsi="Arial"/>
          <w:b/>
          <w:bCs/>
          <w:color w:val="4A5E45"/>
          <w:sz w:val="24"/>
          <w:szCs w:val="24"/>
        </w:rPr>
        <w:t xml:space="preserve">Types de contenus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2500"/>
        <w:gridCol w:w="4526"/>
      </w:tblGrid>
      <w:tr>
        <w:trPr>
          <w:tblHeader/>
        </w:trPr>
        <w:tc>
          <w:tcPr>
            <w:tcW w:type="dxa" w:w="15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5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Icône</w:t>
            </w:r>
          </w:p>
        </w:tc>
        <w:tc>
          <w:tcPr>
            <w:tcW w:type="dxa" w:w="25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c>
          <w:tcPr>
            <w:tcW w:type="dxa" w:w="45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Métadonnées spécifiques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Post libre</w:t>
            </w:r>
          </w:p>
        </w:tc>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Partage d'expérience, réflexion, question ouverte</w:t>
            </w:r>
          </w:p>
        </w:tc>
        <w:tc>
          <w:tcPr>
            <w:tcW w:type="dxa" w:w="4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Aucune</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Levée de fonds</w:t>
            </w:r>
          </w:p>
        </w:tc>
        <w:tc>
          <w:tcPr>
            <w:tcW w:type="dxa" w:w="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Annonce d'un tour de financement</w:t>
            </w:r>
          </w:p>
        </w:tc>
        <w:tc>
          <w:tcPr>
            <w:tcW w:type="dxa" w:w="4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Montant, Stade, Lead investor</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Offre d'emploi</w:t>
            </w:r>
          </w:p>
        </w:tc>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Recrutement ou recherche de stage</w:t>
            </w:r>
          </w:p>
        </w:tc>
        <w:tc>
          <w:tcPr>
            <w:tcW w:type="dxa" w:w="4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Poste, Salaire/TJM, Lieu</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Événement</w:t>
            </w:r>
          </w:p>
        </w:tc>
        <w:tc>
          <w:tcPr>
            <w:tcW w:type="dxa" w:w="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Annonce d'un événement</w:t>
            </w:r>
          </w:p>
        </w:tc>
        <w:tc>
          <w:tcPr>
            <w:tcW w:type="dxa" w:w="4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Date, Lieu, Places restantes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Conseil / Tip</w:t>
            </w:r>
          </w:p>
        </w:tc>
        <w:tc>
          <w:tcPr>
            <w:tcW w:type="dxa" w:w="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Contenu expert partageable</w:t>
            </w:r>
          </w:p>
        </w:tc>
        <w:tc>
          <w:tcPr>
            <w:tcW w:type="dxa" w:w="4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Aucune</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Actualité</w:t>
            </w:r>
          </w:p>
        </w:tc>
        <w:tc>
          <w:tcPr>
            <w:tcW w:type="dxa" w:w="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2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News sectorielles ou communautaires</w:t>
            </w:r>
          </w:p>
        </w:tc>
        <w:tc>
          <w:tcPr>
            <w:tcW w:type="dxa" w:w="4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Source, Date</w:t>
            </w:r>
          </w:p>
        </w:tc>
      </w:tr>
    </w:tbl>
    <w:p>
      <w:pPr>
        <w:spacing w:before="0" w:after="0"/>
      </w:pPr>
      <w:r>
        <w:t xml:space="preserve"/>
      </w:r>
    </w:p>
    <w:p>
      <w:pPr>
        <w:pStyle w:val="Heading3"/>
        <w:spacing w:before="200" w:after="80"/>
      </w:pPr>
      <w:r>
        <w:rPr>
          <w:rFonts w:ascii="Arial" w:cs="Arial" w:eastAsia="Arial" w:hAnsi="Arial"/>
          <w:b/>
          <w:bCs/>
          <w:color w:val="4A5E45"/>
          <w:sz w:val="24"/>
          <w:szCs w:val="24"/>
        </w:rPr>
        <w:t xml:space="preserve">Fonctionnalités détaillées du Feed</w:t>
      </w:r>
    </w:p>
    <w:p>
      <w:pPr>
        <w:pStyle w:val="ListParagraph"/>
        <w:numPr>
          <w:ilvl w:val="0"/>
          <w:numId w:val="2"/>
        </w:numPr>
        <w:spacing w:before="40" w:after="40" w:line="300"/>
      </w:pPr>
      <w:r>
        <w:rPr>
          <w:rFonts w:ascii="Arial" w:cs="Arial" w:eastAsia="Arial" w:hAnsi="Arial"/>
          <w:color w:val="1A2418"/>
          <w:sz w:val="22"/>
          <w:szCs w:val="22"/>
        </w:rPr>
        <w:t xml:space="preserve">Compositeur de post avec sélection du type, compteur de caractères (500 max), upload de fichiers/images</w:t>
      </w:r>
    </w:p>
    <w:p>
      <w:pPr>
        <w:pStyle w:val="ListParagraph"/>
        <w:numPr>
          <w:ilvl w:val="0"/>
          <w:numId w:val="2"/>
        </w:numPr>
        <w:spacing w:before="40" w:after="40" w:line="300"/>
      </w:pPr>
      <w:r>
        <w:rPr>
          <w:rFonts w:ascii="Arial" w:cs="Arial" w:eastAsia="Arial" w:hAnsi="Arial"/>
          <w:color w:val="1A2418"/>
          <w:sz w:val="22"/>
          <w:szCs w:val="22"/>
        </w:rPr>
        <w:t xml:space="preserve">Système de likes — toggle par utilisateur, compteur temps réel, anti-doublon</w:t>
      </w:r>
    </w:p>
    <w:p>
      <w:pPr>
        <w:pStyle w:val="ListParagraph"/>
        <w:numPr>
          <w:ilvl w:val="0"/>
          <w:numId w:val="2"/>
        </w:numPr>
        <w:spacing w:before="40" w:after="40" w:line="300"/>
      </w:pPr>
      <w:r>
        <w:rPr>
          <w:rFonts w:ascii="Arial" w:cs="Arial" w:eastAsia="Arial" w:hAnsi="Arial"/>
          <w:color w:val="1A2418"/>
          <w:sz w:val="22"/>
          <w:szCs w:val="22"/>
        </w:rPr>
        <w:t xml:space="preserve">Commentaires imbriqués — timestamps relatifs (timeAgo), pagination, tri chronologique</w:t>
      </w:r>
    </w:p>
    <w:p>
      <w:pPr>
        <w:pStyle w:val="ListParagraph"/>
        <w:numPr>
          <w:ilvl w:val="0"/>
          <w:numId w:val="2"/>
        </w:numPr>
        <w:spacing w:before="40" w:after="40" w:line="300"/>
      </w:pPr>
      <w:r>
        <w:rPr>
          <w:rFonts w:ascii="Arial" w:cs="Arial" w:eastAsia="Arial" w:hAnsi="Arial"/>
          <w:color w:val="1A2418"/>
          <w:sz w:val="22"/>
          <w:szCs w:val="22"/>
        </w:rPr>
        <w:t xml:space="preserve">Filtrage dynamique par type — onglets avec compteurs : Tout / Levées / Emplois / Événements / Conseils / Actualités</w:t>
      </w:r>
    </w:p>
    <w:p>
      <w:pPr>
        <w:pStyle w:val="ListParagraph"/>
        <w:numPr>
          <w:ilvl w:val="0"/>
          <w:numId w:val="2"/>
        </w:numPr>
        <w:spacing w:before="40" w:after="40" w:line="300"/>
      </w:pPr>
      <w:r>
        <w:rPr>
          <w:rFonts w:ascii="Arial" w:cs="Arial" w:eastAsia="Arial" w:hAnsi="Arial"/>
          <w:color w:val="1A2418"/>
          <w:sz w:val="22"/>
          <w:szCs w:val="22"/>
        </w:rPr>
        <w:t xml:space="preserve">Sidebar droite — tendances (top hashtags avec compteur de posts), membres suggérés, prochain événement</w:t>
      </w:r>
    </w:p>
    <w:p>
      <w:pPr>
        <w:pStyle w:val="ListParagraph"/>
        <w:numPr>
          <w:ilvl w:val="0"/>
          <w:numId w:val="2"/>
        </w:numPr>
        <w:spacing w:before="40" w:after="40" w:line="300"/>
      </w:pPr>
      <w:r>
        <w:rPr>
          <w:rFonts w:ascii="Arial" w:cs="Arial" w:eastAsia="Arial" w:hAnsi="Arial"/>
          <w:color w:val="1A2418"/>
          <w:sz w:val="22"/>
          <w:szCs w:val="22"/>
        </w:rPr>
        <w:t xml:space="preserve">Posts initiaux (SEED_POSTS) — 12 posts diversifiés couvrant tous les profils et types de contenus</w:t>
      </w:r>
    </w:p>
    <w:p>
      <w:pPr>
        <w:pStyle w:val="ListParagraph"/>
        <w:numPr>
          <w:ilvl w:val="0"/>
          <w:numId w:val="2"/>
        </w:numPr>
        <w:spacing w:before="40" w:after="40" w:line="300"/>
      </w:pPr>
      <w:r>
        <w:rPr>
          <w:rFonts w:ascii="Arial" w:cs="Arial" w:eastAsia="Arial" w:hAnsi="Arial"/>
          <w:color w:val="1A2418"/>
          <w:sz w:val="22"/>
          <w:szCs w:val="22"/>
        </w:rPr>
        <w:t xml:space="preserve">Persistance partagée via window.storage — les posts sont visibles par tous les membres connectés</w:t>
      </w:r>
    </w:p>
    <w:p>
      <w:pPr>
        <w:pStyle w:val="ListParagraph"/>
        <w:numPr>
          <w:ilvl w:val="0"/>
          <w:numId w:val="2"/>
        </w:numPr>
        <w:spacing w:before="40" w:after="40" w:line="300"/>
      </w:pPr>
      <w:r>
        <w:rPr>
          <w:rFonts w:ascii="Arial" w:cs="Arial" w:eastAsia="Arial" w:hAnsi="Arial"/>
          <w:color w:val="1A2418"/>
          <w:sz w:val="22"/>
          <w:szCs w:val="22"/>
        </w:rPr>
        <w:t xml:space="preserve">Auto-refresh toutes les 30 secondes — badge de nouveaux posts sans rechargement</w:t>
      </w:r>
    </w:p>
    <w:p>
      <w:pPr>
        <w:pStyle w:val="ListParagraph"/>
        <w:numPr>
          <w:ilvl w:val="0"/>
          <w:numId w:val="2"/>
        </w:numPr>
        <w:spacing w:before="40" w:after="40" w:line="300"/>
      </w:pPr>
      <w:r>
        <w:rPr>
          <w:rFonts w:ascii="Arial" w:cs="Arial" w:eastAsia="Arial" w:hAnsi="Arial"/>
          <w:color w:val="1A2418"/>
          <w:sz w:val="22"/>
          <w:szCs w:val="22"/>
        </w:rPr>
        <w:t xml:space="preserve">Extraction automatique des hashtags — détection des #mot dans le contenu</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3.2 Networking et mise en relation</w:t>
      </w:r>
    </w:p>
    <w:p>
      <w:pPr>
        <w:pStyle w:val="Heading3"/>
        <w:spacing w:before="200" w:after="80"/>
      </w:pPr>
      <w:r>
        <w:rPr>
          <w:rFonts w:ascii="Arial" w:cs="Arial" w:eastAsia="Arial" w:hAnsi="Arial"/>
          <w:b/>
          <w:bCs/>
          <w:color w:val="4A5E45"/>
          <w:sz w:val="24"/>
          <w:szCs w:val="24"/>
        </w:rPr>
        <w:t xml:space="preserve">Algorithme de matching</w:t>
      </w:r>
    </w:p>
    <w:p>
      <w:pPr>
        <w:pStyle w:val="ListParagraph"/>
        <w:numPr>
          <w:ilvl w:val="0"/>
          <w:numId w:val="2"/>
        </w:numPr>
        <w:spacing w:before="40" w:after="40" w:line="300"/>
      </w:pPr>
      <w:r>
        <w:rPr>
          <w:rFonts w:ascii="Arial" w:cs="Arial" w:eastAsia="Arial" w:hAnsi="Arial"/>
          <w:color w:val="1A2418"/>
          <w:sz w:val="22"/>
          <w:szCs w:val="22"/>
        </w:rPr>
        <w:t xml:space="preserve">Score de compatibilité calculé sur 5 critères : secteur (30%), stade (25%), objectifs (20%), localisation (15%), connexions communes (10%)</w:t>
      </w:r>
    </w:p>
    <w:p>
      <w:pPr>
        <w:pStyle w:val="ListParagraph"/>
        <w:numPr>
          <w:ilvl w:val="0"/>
          <w:numId w:val="2"/>
        </w:numPr>
        <w:spacing w:before="40" w:after="40" w:line="300"/>
      </w:pPr>
      <w:r>
        <w:rPr>
          <w:rFonts w:ascii="Arial" w:cs="Arial" w:eastAsia="Arial" w:hAnsi="Arial"/>
          <w:color w:val="1A2418"/>
          <w:sz w:val="22"/>
          <w:szCs w:val="22"/>
        </w:rPr>
        <w:t xml:space="preserve">Affichage du score de matching (%) sur chaque profil suggéré</w:t>
      </w:r>
    </w:p>
    <w:p>
      <w:pPr>
        <w:pStyle w:val="ListParagraph"/>
        <w:numPr>
          <w:ilvl w:val="0"/>
          <w:numId w:val="2"/>
        </w:numPr>
        <w:spacing w:before="40" w:after="40" w:line="300"/>
      </w:pPr>
      <w:r>
        <w:rPr>
          <w:rFonts w:ascii="Arial" w:cs="Arial" w:eastAsia="Arial" w:hAnsi="Arial"/>
          <w:color w:val="1A2418"/>
          <w:sz w:val="22"/>
          <w:szCs w:val="22"/>
        </w:rPr>
        <w:t xml:space="preserve">Mise à jour quotidienne des suggestions selon l'évolution des profils</w:t>
      </w:r>
    </w:p>
    <w:p>
      <w:pPr>
        <w:pStyle w:val="Heading3"/>
        <w:spacing w:before="200" w:after="80"/>
      </w:pPr>
      <w:r>
        <w:rPr>
          <w:rFonts w:ascii="Arial" w:cs="Arial" w:eastAsia="Arial" w:hAnsi="Arial"/>
          <w:b/>
          <w:bCs/>
          <w:color w:val="4A5E45"/>
          <w:sz w:val="24"/>
          <w:szCs w:val="24"/>
        </w:rPr>
        <w:t xml:space="preserve">Fonctionnalités réseau</w:t>
      </w:r>
    </w:p>
    <w:p>
      <w:pPr>
        <w:pStyle w:val="ListParagraph"/>
        <w:numPr>
          <w:ilvl w:val="0"/>
          <w:numId w:val="2"/>
        </w:numPr>
        <w:spacing w:before="40" w:after="40" w:line="300"/>
      </w:pPr>
      <w:r>
        <w:rPr>
          <w:rFonts w:ascii="Arial" w:cs="Arial" w:eastAsia="Arial" w:hAnsi="Arial"/>
          <w:color w:val="1A2418"/>
          <w:sz w:val="22"/>
          <w:szCs w:val="22"/>
        </w:rPr>
        <w:t xml:space="preserve">Suggestions IA — 8 profils recommandés sur la page principale Networking</w:t>
      </w:r>
    </w:p>
    <w:p>
      <w:pPr>
        <w:pStyle w:val="ListParagraph"/>
        <w:numPr>
          <w:ilvl w:val="0"/>
          <w:numId w:val="2"/>
        </w:numPr>
        <w:spacing w:before="40" w:after="40" w:line="300"/>
      </w:pPr>
      <w:r>
        <w:rPr>
          <w:rFonts w:ascii="Arial" w:cs="Arial" w:eastAsia="Arial" w:hAnsi="Arial"/>
          <w:color w:val="1A2418"/>
          <w:sz w:val="22"/>
          <w:szCs w:val="22"/>
        </w:rPr>
        <w:t xml:space="preserve">Gestion des demandes — Reçues / Envoyées / Acceptées / Ignorées — avec notifications</w:t>
      </w:r>
    </w:p>
    <w:p>
      <w:pPr>
        <w:pStyle w:val="ListParagraph"/>
        <w:numPr>
          <w:ilvl w:val="0"/>
          <w:numId w:val="2"/>
        </w:numPr>
        <w:spacing w:before="40" w:after="40" w:line="300"/>
      </w:pPr>
      <w:r>
        <w:rPr>
          <w:rFonts w:ascii="Arial" w:cs="Arial" w:eastAsia="Arial" w:hAnsi="Arial"/>
          <w:color w:val="1A2418"/>
          <w:sz w:val="22"/>
          <w:szCs w:val="22"/>
        </w:rPr>
        <w:t xml:space="preserve">Profils enrichis — rôle, spécialité, taux d'acceptation de connexion, connexions communes</w:t>
      </w:r>
    </w:p>
    <w:p>
      <w:pPr>
        <w:pStyle w:val="ListParagraph"/>
        <w:numPr>
          <w:ilvl w:val="0"/>
          <w:numId w:val="2"/>
        </w:numPr>
        <w:spacing w:before="40" w:after="40" w:line="300"/>
      </w:pPr>
      <w:r>
        <w:rPr>
          <w:rFonts w:ascii="Arial" w:cs="Arial" w:eastAsia="Arial" w:hAnsi="Arial"/>
          <w:color w:val="1A2418"/>
          <w:sz w:val="22"/>
          <w:szCs w:val="22"/>
        </w:rPr>
        <w:t xml:space="preserve">Favoris — liste de profils à suivre sans connexion formelle</w:t>
      </w:r>
    </w:p>
    <w:p>
      <w:pPr>
        <w:pStyle w:val="ListParagraph"/>
        <w:numPr>
          <w:ilvl w:val="0"/>
          <w:numId w:val="2"/>
        </w:numPr>
        <w:spacing w:before="40" w:after="40" w:line="300"/>
      </w:pPr>
      <w:r>
        <w:rPr>
          <w:rFonts w:ascii="Arial" w:cs="Arial" w:eastAsia="Arial" w:hAnsi="Arial"/>
          <w:color w:val="1A2418"/>
          <w:sz w:val="22"/>
          <w:szCs w:val="22"/>
        </w:rPr>
        <w:t xml:space="preserve">Messagerie directe depuis le profil — bouton 'Contacter'</w:t>
      </w:r>
    </w:p>
    <w:p>
      <w:pPr>
        <w:pStyle w:val="ListParagraph"/>
        <w:numPr>
          <w:ilvl w:val="0"/>
          <w:numId w:val="2"/>
        </w:numPr>
        <w:spacing w:before="40" w:after="40" w:line="300"/>
      </w:pPr>
      <w:r>
        <w:rPr>
          <w:rFonts w:ascii="Arial" w:cs="Arial" w:eastAsia="Arial" w:hAnsi="Arial"/>
          <w:color w:val="1A2418"/>
          <w:sz w:val="22"/>
          <w:szCs w:val="22"/>
        </w:rPr>
        <w:t xml:space="preserve">Statistiques réseau personnelles — connexions actives, vues de profil (30 jours), score réseau /100</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3.3 Coaching &amp; Sessions</w:t>
      </w:r>
    </w:p>
    <w:p>
      <w:pPr>
        <w:spacing w:before="80" w:after="80" w:line="340"/>
        <w:jc w:val="both"/>
      </w:pPr>
      <w:r>
        <w:rPr>
          <w:rFonts w:ascii="Arial" w:cs="Arial" w:eastAsia="Arial" w:hAnsi="Arial"/>
          <w:color w:val="1A2418"/>
          <w:sz w:val="22"/>
          <w:szCs w:val="22"/>
        </w:rPr>
        <w:t xml:space="preserve">Module transversal disponible pour tous les profils, adapté contextuellement selon que l'utilisateur est coach ou mentoré.</w:t>
      </w:r>
    </w:p>
    <w:p>
      <w:pPr>
        <w:pStyle w:val="ListParagraph"/>
        <w:numPr>
          <w:ilvl w:val="0"/>
          <w:numId w:val="2"/>
        </w:numPr>
        <w:spacing w:before="40" w:after="40" w:line="300"/>
      </w:pPr>
      <w:r>
        <w:rPr>
          <w:rFonts w:ascii="Arial" w:cs="Arial" w:eastAsia="Arial" w:hAnsi="Arial"/>
          <w:color w:val="1A2418"/>
          <w:sz w:val="22"/>
          <w:szCs w:val="22"/>
        </w:rPr>
        <w:t xml:space="preserve">Réservation de sessions depuis la Marketplace — sélection du coach, du créneau, du thème</w:t>
      </w:r>
    </w:p>
    <w:p>
      <w:pPr>
        <w:pStyle w:val="ListParagraph"/>
        <w:numPr>
          <w:ilvl w:val="0"/>
          <w:numId w:val="2"/>
        </w:numPr>
        <w:spacing w:before="40" w:after="40" w:line="300"/>
      </w:pPr>
      <w:r>
        <w:rPr>
          <w:rFonts w:ascii="Arial" w:cs="Arial" w:eastAsia="Arial" w:hAnsi="Arial"/>
          <w:color w:val="1A2418"/>
          <w:sz w:val="22"/>
          <w:szCs w:val="22"/>
        </w:rPr>
        <w:t xml:space="preserve">Confirmation automatique avec création d'événement dans le calendrier des deux parties</w:t>
      </w:r>
    </w:p>
    <w:p>
      <w:pPr>
        <w:pStyle w:val="ListParagraph"/>
        <w:numPr>
          <w:ilvl w:val="0"/>
          <w:numId w:val="2"/>
        </w:numPr>
        <w:spacing w:before="40" w:after="40" w:line="300"/>
      </w:pPr>
      <w:r>
        <w:rPr>
          <w:rFonts w:ascii="Arial" w:cs="Arial" w:eastAsia="Arial" w:hAnsi="Arial"/>
          <w:color w:val="1A2418"/>
          <w:sz w:val="22"/>
          <w:szCs w:val="22"/>
        </w:rPr>
        <w:t xml:space="preserve">Rappels automatiques — J-1 (email + notification), H-2 (notification), H-0 (lien de visioconférence)</w:t>
      </w:r>
    </w:p>
    <w:p>
      <w:pPr>
        <w:pStyle w:val="ListParagraph"/>
        <w:numPr>
          <w:ilvl w:val="0"/>
          <w:numId w:val="2"/>
        </w:numPr>
        <w:spacing w:before="40" w:after="40" w:line="300"/>
      </w:pPr>
      <w:r>
        <w:rPr>
          <w:rFonts w:ascii="Arial" w:cs="Arial" w:eastAsia="Arial" w:hAnsi="Arial"/>
          <w:color w:val="1A2418"/>
          <w:sz w:val="22"/>
          <w:szCs w:val="22"/>
        </w:rPr>
        <w:t xml:space="preserve">Espace de session — notes structurées (agenda, takeaways, actions), partage post-session</w:t>
      </w:r>
    </w:p>
    <w:p>
      <w:pPr>
        <w:pStyle w:val="ListParagraph"/>
        <w:numPr>
          <w:ilvl w:val="0"/>
          <w:numId w:val="2"/>
        </w:numPr>
        <w:spacing w:before="40" w:after="40" w:line="300"/>
      </w:pPr>
      <w:r>
        <w:rPr>
          <w:rFonts w:ascii="Arial" w:cs="Arial" w:eastAsia="Arial" w:hAnsi="Arial"/>
          <w:color w:val="1A2418"/>
          <w:sz w:val="22"/>
          <w:szCs w:val="22"/>
        </w:rPr>
        <w:t xml:space="preserve">Notation post-session — score sur 5 étoiles + commentaire optionnel</w:t>
      </w:r>
    </w:p>
    <w:p>
      <w:pPr>
        <w:pStyle w:val="ListParagraph"/>
        <w:numPr>
          <w:ilvl w:val="0"/>
          <w:numId w:val="2"/>
        </w:numPr>
        <w:spacing w:before="40" w:after="40" w:line="300"/>
      </w:pPr>
      <w:r>
        <w:rPr>
          <w:rFonts w:ascii="Arial" w:cs="Arial" w:eastAsia="Arial" w:hAnsi="Arial"/>
          <w:color w:val="1A2418"/>
          <w:sz w:val="22"/>
          <w:szCs w:val="22"/>
        </w:rPr>
        <w:t xml:space="preserve">Historique complet — filtre par coach / thème / date / note</w:t>
      </w:r>
    </w:p>
    <w:p>
      <w:pPr>
        <w:pStyle w:val="ListParagraph"/>
        <w:numPr>
          <w:ilvl w:val="0"/>
          <w:numId w:val="2"/>
        </w:numPr>
        <w:spacing w:before="40" w:after="40" w:line="300"/>
      </w:pPr>
      <w:r>
        <w:rPr>
          <w:rFonts w:ascii="Arial" w:cs="Arial" w:eastAsia="Arial" w:hAnsi="Arial"/>
          <w:color w:val="1A2418"/>
          <w:sz w:val="22"/>
          <w:szCs w:val="22"/>
        </w:rPr>
        <w:t xml:space="preserve">KPIs coaching — sessions réalisées, heures totales, note moyenne, taux de rebook, ROI estimé</w:t>
      </w:r>
    </w:p>
    <w:p>
      <w:pPr>
        <w:pStyle w:val="ListParagraph"/>
        <w:numPr>
          <w:ilvl w:val="0"/>
          <w:numId w:val="2"/>
        </w:numPr>
        <w:spacing w:before="40" w:after="40" w:line="300"/>
      </w:pPr>
      <w:r>
        <w:rPr>
          <w:rFonts w:ascii="Arial" w:cs="Arial" w:eastAsia="Arial" w:hAnsi="Arial"/>
          <w:color w:val="1A2418"/>
          <w:sz w:val="22"/>
          <w:szCs w:val="22"/>
        </w:rPr>
        <w:t xml:space="preserve">Gestion des annulations — politique définie par le coach (délai minimum, remboursement)</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3.4 Messagerie privée</w:t>
      </w:r>
    </w:p>
    <w:p>
      <w:pPr>
        <w:pStyle w:val="ListParagraph"/>
        <w:numPr>
          <w:ilvl w:val="0"/>
          <w:numId w:val="2"/>
        </w:numPr>
        <w:spacing w:before="40" w:after="40" w:line="300"/>
      </w:pPr>
      <w:r>
        <w:rPr>
          <w:rFonts w:ascii="Arial" w:cs="Arial" w:eastAsia="Arial" w:hAnsi="Arial"/>
          <w:color w:val="1A2418"/>
          <w:sz w:val="22"/>
          <w:szCs w:val="22"/>
        </w:rPr>
        <w:t xml:space="preserve">Interface deux colonnes — liste de conversations (gauche, 300px) + espace de chat (droite)</w:t>
      </w:r>
    </w:p>
    <w:p>
      <w:pPr>
        <w:pStyle w:val="ListParagraph"/>
        <w:numPr>
          <w:ilvl w:val="0"/>
          <w:numId w:val="2"/>
        </w:numPr>
        <w:spacing w:before="40" w:after="40" w:line="300"/>
      </w:pPr>
      <w:r>
        <w:rPr>
          <w:rFonts w:ascii="Arial" w:cs="Arial" w:eastAsia="Arial" w:hAnsi="Arial"/>
          <w:color w:val="1A2418"/>
          <w:sz w:val="22"/>
          <w:szCs w:val="22"/>
        </w:rPr>
        <w:t xml:space="preserve">Threads chronologiques avec bulles différenciées (couleur expéditeur / fond destinataire)</w:t>
      </w:r>
    </w:p>
    <w:p>
      <w:pPr>
        <w:pStyle w:val="ListParagraph"/>
        <w:numPr>
          <w:ilvl w:val="0"/>
          <w:numId w:val="2"/>
        </w:numPr>
        <w:spacing w:before="40" w:after="40" w:line="300"/>
      </w:pPr>
      <w:r>
        <w:rPr>
          <w:rFonts w:ascii="Arial" w:cs="Arial" w:eastAsia="Arial" w:hAnsi="Arial"/>
          <w:color w:val="1A2418"/>
          <w:sz w:val="22"/>
          <w:szCs w:val="22"/>
        </w:rPr>
        <w:t xml:space="preserve">Indicateur de statut — En ligne / Hors ligne / Occupé en session</w:t>
      </w:r>
    </w:p>
    <w:p>
      <w:pPr>
        <w:pStyle w:val="ListParagraph"/>
        <w:numPr>
          <w:ilvl w:val="0"/>
          <w:numId w:val="2"/>
        </w:numPr>
        <w:spacing w:before="40" w:after="40" w:line="300"/>
      </w:pPr>
      <w:r>
        <w:rPr>
          <w:rFonts w:ascii="Arial" w:cs="Arial" w:eastAsia="Arial" w:hAnsi="Arial"/>
          <w:color w:val="1A2418"/>
          <w:sz w:val="22"/>
          <w:szCs w:val="22"/>
        </w:rPr>
        <w:t xml:space="preserve">Partage de fichiers — pièces jointes avec prévisualisation (images, PDF) jusqu'à 10 Mo</w:t>
      </w:r>
    </w:p>
    <w:p>
      <w:pPr>
        <w:pStyle w:val="ListParagraph"/>
        <w:numPr>
          <w:ilvl w:val="0"/>
          <w:numId w:val="2"/>
        </w:numPr>
        <w:spacing w:before="40" w:after="40" w:line="300"/>
      </w:pPr>
      <w:r>
        <w:rPr>
          <w:rFonts w:ascii="Arial" w:cs="Arial" w:eastAsia="Arial" w:hAnsi="Arial"/>
          <w:color w:val="1A2418"/>
          <w:sz w:val="22"/>
          <w:szCs w:val="22"/>
        </w:rPr>
        <w:t xml:space="preserve">Recherche full-text dans les conversations</w:t>
      </w:r>
    </w:p>
    <w:p>
      <w:pPr>
        <w:pStyle w:val="ListParagraph"/>
        <w:numPr>
          <w:ilvl w:val="0"/>
          <w:numId w:val="2"/>
        </w:numPr>
        <w:spacing w:before="40" w:after="40" w:line="300"/>
      </w:pPr>
      <w:r>
        <w:rPr>
          <w:rFonts w:ascii="Arial" w:cs="Arial" w:eastAsia="Arial" w:hAnsi="Arial"/>
          <w:color w:val="1A2418"/>
          <w:sz w:val="22"/>
          <w:szCs w:val="22"/>
        </w:rPr>
        <w:t xml:space="preserve">Actions rapides contextuelles — Réserver une session / Voir le profil / Voir le pitch deck</w:t>
      </w:r>
    </w:p>
    <w:p>
      <w:pPr>
        <w:pStyle w:val="ListParagraph"/>
        <w:numPr>
          <w:ilvl w:val="0"/>
          <w:numId w:val="2"/>
        </w:numPr>
        <w:spacing w:before="40" w:after="40" w:line="300"/>
      </w:pPr>
      <w:r>
        <w:rPr>
          <w:rFonts w:ascii="Arial" w:cs="Arial" w:eastAsia="Arial" w:hAnsi="Arial"/>
          <w:color w:val="1A2418"/>
          <w:sz w:val="22"/>
          <w:szCs w:val="22"/>
        </w:rPr>
        <w:t xml:space="preserve">Notifications temps réel — badge compteur + notification push (web + mobile)</w:t>
      </w:r>
    </w:p>
    <w:p>
      <w:pPr>
        <w:pStyle w:val="ListParagraph"/>
        <w:numPr>
          <w:ilvl w:val="0"/>
          <w:numId w:val="2"/>
        </w:numPr>
        <w:spacing w:before="40" w:after="40" w:line="300"/>
      </w:pPr>
      <w:r>
        <w:rPr>
          <w:rFonts w:ascii="Arial" w:cs="Arial" w:eastAsia="Arial" w:hAnsi="Arial"/>
          <w:color w:val="1A2418"/>
          <w:sz w:val="22"/>
          <w:szCs w:val="22"/>
        </w:rPr>
        <w:t xml:space="preserve">Archivage des conversations inactives depuis plus de 6 mois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3.5 Calendrier</w:t>
      </w:r>
    </w:p>
    <w:p>
      <w:pPr>
        <w:pStyle w:val="ListParagraph"/>
        <w:numPr>
          <w:ilvl w:val="0"/>
          <w:numId w:val="2"/>
        </w:numPr>
        <w:spacing w:before="40" w:after="40" w:line="300"/>
      </w:pPr>
      <w:r>
        <w:rPr>
          <w:rFonts w:ascii="Arial" w:cs="Arial" w:eastAsia="Arial" w:hAnsi="Arial"/>
          <w:color w:val="1A2418"/>
          <w:sz w:val="22"/>
          <w:szCs w:val="22"/>
        </w:rPr>
        <w:t xml:space="preserve">Vue semaine 7 colonnes (Lun → Dim) avec événements colorés par type</w:t>
      </w:r>
    </w:p>
    <w:p>
      <w:pPr>
        <w:pStyle w:val="ListParagraph"/>
        <w:numPr>
          <w:ilvl w:val="0"/>
          <w:numId w:val="2"/>
        </w:numPr>
        <w:spacing w:before="40" w:after="40" w:line="300"/>
      </w:pPr>
      <w:r>
        <w:rPr>
          <w:rFonts w:ascii="Arial" w:cs="Arial" w:eastAsia="Arial" w:hAnsi="Arial"/>
          <w:color w:val="1A2418"/>
          <w:sz w:val="22"/>
          <w:szCs w:val="22"/>
        </w:rPr>
        <w:t xml:space="preserve">Code couleur : Coaching (vert #5CBF00), Investisseur (violet #7A44E8), Commercial (bleu #1A7AE8), Formation (orange #E86A10), Interne (gris-vert)</w:t>
      </w:r>
    </w:p>
    <w:p>
      <w:pPr>
        <w:pStyle w:val="ListParagraph"/>
        <w:numPr>
          <w:ilvl w:val="0"/>
          <w:numId w:val="2"/>
        </w:numPr>
        <w:spacing w:before="40" w:after="40" w:line="300"/>
      </w:pPr>
      <w:r>
        <w:rPr>
          <w:rFonts w:ascii="Arial" w:cs="Arial" w:eastAsia="Arial" w:hAnsi="Arial"/>
          <w:color w:val="1A2418"/>
          <w:sz w:val="22"/>
          <w:szCs w:val="22"/>
        </w:rPr>
        <w:t xml:space="preserve">Navigation semaine — précédente / suivante / retour à aujourd'hui</w:t>
      </w:r>
    </w:p>
    <w:p>
      <w:pPr>
        <w:pStyle w:val="ListParagraph"/>
        <w:numPr>
          <w:ilvl w:val="0"/>
          <w:numId w:val="2"/>
        </w:numPr>
        <w:spacing w:before="40" w:after="40" w:line="300"/>
      </w:pPr>
      <w:r>
        <w:rPr>
          <w:rFonts w:ascii="Arial" w:cs="Arial" w:eastAsia="Arial" w:hAnsi="Arial"/>
          <w:color w:val="1A2418"/>
          <w:sz w:val="22"/>
          <w:szCs w:val="22"/>
        </w:rPr>
        <w:t xml:space="preserve">Ajout d'événements manuel — titre, date, heure, type, description, lien visio optionnel</w:t>
      </w:r>
    </w:p>
    <w:p>
      <w:pPr>
        <w:pStyle w:val="ListParagraph"/>
        <w:numPr>
          <w:ilvl w:val="0"/>
          <w:numId w:val="2"/>
        </w:numPr>
        <w:spacing w:before="40" w:after="40" w:line="300"/>
      </w:pPr>
      <w:r>
        <w:rPr>
          <w:rFonts w:ascii="Arial" w:cs="Arial" w:eastAsia="Arial" w:hAnsi="Arial"/>
          <w:color w:val="1A2418"/>
          <w:sz w:val="22"/>
          <w:szCs w:val="22"/>
        </w:rPr>
        <w:t xml:space="preserve">Synchronisation automatique avec le module Coaching (sessions confirmées) et Événements (inscriptions)</w:t>
      </w:r>
    </w:p>
    <w:p>
      <w:pPr>
        <w:pStyle w:val="ListParagraph"/>
        <w:numPr>
          <w:ilvl w:val="0"/>
          <w:numId w:val="2"/>
        </w:numPr>
        <w:spacing w:before="40" w:after="40" w:line="300"/>
      </w:pPr>
      <w:r>
        <w:rPr>
          <w:rFonts w:ascii="Arial" w:cs="Arial" w:eastAsia="Arial" w:hAnsi="Arial"/>
          <w:color w:val="1A2418"/>
          <w:sz w:val="22"/>
          <w:szCs w:val="22"/>
        </w:rPr>
        <w:t xml:space="preserve">Vue agenda liste — prochains rendez-vous triés chronologiquement avec détails et actions</w:t>
      </w:r>
    </w:p>
    <w:p>
      <w:pPr>
        <w:pStyle w:val="ListParagraph"/>
        <w:numPr>
          <w:ilvl w:val="0"/>
          <w:numId w:val="2"/>
        </w:numPr>
        <w:spacing w:before="40" w:after="40" w:line="300"/>
      </w:pPr>
      <w:r>
        <w:rPr>
          <w:rFonts w:ascii="Arial" w:cs="Arial" w:eastAsia="Arial" w:hAnsi="Arial"/>
          <w:color w:val="1A2418"/>
          <w:sz w:val="22"/>
          <w:szCs w:val="22"/>
        </w:rPr>
        <w:t xml:space="preserve">Statistiques mensuelles — heures de coaching, événements, calls investisseurs, taux de présence</w:t>
      </w:r>
    </w:p>
    <w:p>
      <w:pPr>
        <w:pStyle w:val="ListParagraph"/>
        <w:numPr>
          <w:ilvl w:val="0"/>
          <w:numId w:val="2"/>
        </w:numPr>
        <w:spacing w:before="40" w:after="40" w:line="300"/>
      </w:pPr>
      <w:r>
        <w:rPr>
          <w:rFonts w:ascii="Arial" w:cs="Arial" w:eastAsia="Arial" w:hAnsi="Arial"/>
          <w:color w:val="1A2418"/>
          <w:sz w:val="22"/>
          <w:szCs w:val="22"/>
        </w:rPr>
        <w:t xml:space="preserve">Export et synchronisation — format .ics (Apple Calendar, Outlook), Google Calendar API</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3.6 Marketplace experts</w:t>
      </w:r>
    </w:p>
    <w:p>
      <w:pPr>
        <w:pStyle w:val="Heading3"/>
        <w:spacing w:before="200" w:after="80"/>
      </w:pPr>
      <w:r>
        <w:rPr>
          <w:rFonts w:ascii="Arial" w:cs="Arial" w:eastAsia="Arial" w:hAnsi="Arial"/>
          <w:b/>
          <w:bCs/>
          <w:color w:val="4A5E45"/>
          <w:sz w:val="24"/>
          <w:szCs w:val="24"/>
        </w:rPr>
        <w:t xml:space="preserve">Catalogue</w:t>
      </w:r>
    </w:p>
    <w:p>
      <w:pPr>
        <w:pStyle w:val="ListParagraph"/>
        <w:numPr>
          <w:ilvl w:val="0"/>
          <w:numId w:val="2"/>
        </w:numPr>
        <w:spacing w:before="40" w:after="40" w:line="300"/>
      </w:pPr>
      <w:r>
        <w:rPr>
          <w:rFonts w:ascii="Arial" w:cs="Arial" w:eastAsia="Arial" w:hAnsi="Arial"/>
          <w:color w:val="1A2418"/>
          <w:sz w:val="22"/>
          <w:szCs w:val="22"/>
        </w:rPr>
        <w:t xml:space="preserve">124+ experts certifiés avec profil complet (photo, biographie, spécialités, tarifs, disponibilités, avis)</w:t>
      </w:r>
    </w:p>
    <w:p>
      <w:pPr>
        <w:pStyle w:val="ListParagraph"/>
        <w:numPr>
          <w:ilvl w:val="0"/>
          <w:numId w:val="2"/>
        </w:numPr>
        <w:spacing w:before="40" w:after="40" w:line="300"/>
      </w:pPr>
      <w:r>
        <w:rPr>
          <w:rFonts w:ascii="Arial" w:cs="Arial" w:eastAsia="Arial" w:hAnsi="Arial"/>
          <w:color w:val="1A2418"/>
          <w:sz w:val="22"/>
          <w:szCs w:val="22"/>
        </w:rPr>
        <w:t xml:space="preserve">Filtres multicritères — spécialité, tarif horaire, langue, note, disponibilité, format (visio/présentiel)</w:t>
      </w:r>
    </w:p>
    <w:p>
      <w:pPr>
        <w:pStyle w:val="ListParagraph"/>
        <w:numPr>
          <w:ilvl w:val="0"/>
          <w:numId w:val="2"/>
        </w:numPr>
        <w:spacing w:before="40" w:after="40" w:line="300"/>
      </w:pPr>
      <w:r>
        <w:rPr>
          <w:rFonts w:ascii="Arial" w:cs="Arial" w:eastAsia="Arial" w:hAnsi="Arial"/>
          <w:color w:val="1A2418"/>
          <w:sz w:val="22"/>
          <w:szCs w:val="22"/>
        </w:rPr>
        <w:t xml:space="preserve">Badges de qualité — Top Mentor (note &gt; 4.8 + 50 avis), Certifié (vérifié GrowHubLink), Nouveau</w:t>
      </w:r>
    </w:p>
    <w:p>
      <w:pPr>
        <w:pStyle w:val="ListParagraph"/>
        <w:numPr>
          <w:ilvl w:val="0"/>
          <w:numId w:val="2"/>
        </w:numPr>
        <w:spacing w:before="40" w:after="40" w:line="300"/>
      </w:pPr>
      <w:r>
        <w:rPr>
          <w:rFonts w:ascii="Arial" w:cs="Arial" w:eastAsia="Arial" w:hAnsi="Arial"/>
          <w:color w:val="1A2418"/>
          <w:sz w:val="22"/>
          <w:szCs w:val="22"/>
        </w:rPr>
        <w:t xml:space="preserve">Moteur de recherche full-text — par nom, compétence, secteur</w:t>
      </w:r>
    </w:p>
    <w:p>
      <w:pPr>
        <w:pStyle w:val="Heading3"/>
        <w:spacing w:before="200" w:after="80"/>
      </w:pPr>
      <w:r>
        <w:rPr>
          <w:rFonts w:ascii="Arial" w:cs="Arial" w:eastAsia="Arial" w:hAnsi="Arial"/>
          <w:b/>
          <w:bCs/>
          <w:color w:val="4A5E45"/>
          <w:sz w:val="24"/>
          <w:szCs w:val="24"/>
        </w:rPr>
        <w:t xml:space="preserve">Programmes intensifs</w:t>
      </w:r>
    </w:p>
    <w:p>
      <w:pPr>
        <w:pStyle w:val="ListParagraph"/>
        <w:numPr>
          <w:ilvl w:val="0"/>
          <w:numId w:val="2"/>
        </w:numPr>
        <w:spacing w:before="40" w:after="40" w:line="300"/>
      </w:pPr>
      <w:r>
        <w:rPr>
          <w:rFonts w:ascii="Arial" w:cs="Arial" w:eastAsia="Arial" w:hAnsi="Arial"/>
          <w:color w:val="1A2418"/>
          <w:sz w:val="22"/>
          <w:szCs w:val="22"/>
        </w:rPr>
        <w:t xml:space="preserve">Bootcamp Fundraising (8 semaines) — de l'idée à la signature du term sheet</w:t>
      </w:r>
    </w:p>
    <w:p>
      <w:pPr>
        <w:pStyle w:val="ListParagraph"/>
        <w:numPr>
          <w:ilvl w:val="0"/>
          <w:numId w:val="2"/>
        </w:numPr>
        <w:spacing w:before="40" w:after="40" w:line="300"/>
      </w:pPr>
      <w:r>
        <w:rPr>
          <w:rFonts w:ascii="Arial" w:cs="Arial" w:eastAsia="Arial" w:hAnsi="Arial"/>
          <w:color w:val="1A2418"/>
          <w:sz w:val="22"/>
          <w:szCs w:val="22"/>
        </w:rPr>
        <w:t xml:space="preserve">Sprint Product-Market Fit (4 semaines) — validation marché avec Jobs-to-be-Done</w:t>
      </w:r>
    </w:p>
    <w:p>
      <w:pPr>
        <w:pStyle w:val="ListParagraph"/>
        <w:numPr>
          <w:ilvl w:val="0"/>
          <w:numId w:val="2"/>
        </w:numPr>
        <w:spacing w:before="40" w:after="40" w:line="300"/>
      </w:pPr>
      <w:r>
        <w:rPr>
          <w:rFonts w:ascii="Arial" w:cs="Arial" w:eastAsia="Arial" w:hAnsi="Arial"/>
          <w:color w:val="1A2418"/>
          <w:sz w:val="22"/>
          <w:szCs w:val="22"/>
        </w:rPr>
        <w:t xml:space="preserve">Programme Growth B2B (6 semaines) — acquisition, activation, rétention</w:t>
      </w:r>
    </w:p>
    <w:p>
      <w:pPr>
        <w:pStyle w:val="ListParagraph"/>
        <w:numPr>
          <w:ilvl w:val="0"/>
          <w:numId w:val="2"/>
        </w:numPr>
        <w:spacing w:before="40" w:after="40" w:line="300"/>
      </w:pPr>
      <w:r>
        <w:rPr>
          <w:rFonts w:ascii="Arial" w:cs="Arial" w:eastAsia="Arial" w:hAnsi="Arial"/>
          <w:color w:val="1A2418"/>
          <w:sz w:val="22"/>
          <w:szCs w:val="22"/>
        </w:rPr>
        <w:t xml:space="preserve">Certification GrowHubLink à l'issue de chaque programme avec badge numérique</w:t>
      </w:r>
    </w:p>
    <w:p>
      <w:pPr>
        <w:pStyle w:val="Heading3"/>
        <w:spacing w:before="200" w:after="80"/>
      </w:pPr>
      <w:r>
        <w:rPr>
          <w:rFonts w:ascii="Arial" w:cs="Arial" w:eastAsia="Arial" w:hAnsi="Arial"/>
          <w:b/>
          <w:bCs/>
          <w:color w:val="4A5E45"/>
          <w:sz w:val="24"/>
          <w:szCs w:val="24"/>
        </w:rPr>
        <w:t xml:space="preserve">Modèle de revenus Marketplace</w:t>
      </w:r>
    </w:p>
    <w:p>
      <w:pPr>
        <w:pStyle w:val="ListParagraph"/>
        <w:numPr>
          <w:ilvl w:val="0"/>
          <w:numId w:val="2"/>
        </w:numPr>
        <w:spacing w:before="40" w:after="40" w:line="300"/>
      </w:pPr>
      <w:r>
        <w:rPr>
          <w:rFonts w:ascii="Arial" w:cs="Arial" w:eastAsia="Arial" w:hAnsi="Arial"/>
          <w:color w:val="1A2418"/>
          <w:sz w:val="22"/>
          <w:szCs w:val="22"/>
        </w:rPr>
        <w:t xml:space="preserve">Commission plateforme : 15% sur chaque transaction</w:t>
      </w:r>
    </w:p>
    <w:p>
      <w:pPr>
        <w:pStyle w:val="ListParagraph"/>
        <w:numPr>
          <w:ilvl w:val="0"/>
          <w:numId w:val="2"/>
        </w:numPr>
        <w:spacing w:before="40" w:after="40" w:line="300"/>
      </w:pPr>
      <w:r>
        <w:rPr>
          <w:rFonts w:ascii="Arial" w:cs="Arial" w:eastAsia="Arial" w:hAnsi="Arial"/>
          <w:color w:val="1A2418"/>
          <w:sz w:val="22"/>
          <w:szCs w:val="22"/>
        </w:rPr>
        <w:t xml:space="preserve">Stripe Connect pour la gestion des paiements et virements aux experts</w:t>
      </w:r>
    </w:p>
    <w:p>
      <w:pPr>
        <w:pStyle w:val="ListParagraph"/>
        <w:numPr>
          <w:ilvl w:val="0"/>
          <w:numId w:val="2"/>
        </w:numPr>
        <w:spacing w:before="40" w:after="40" w:line="300"/>
      </w:pPr>
      <w:r>
        <w:rPr>
          <w:rFonts w:ascii="Arial" w:cs="Arial" w:eastAsia="Arial" w:hAnsi="Arial"/>
          <w:color w:val="1A2418"/>
          <w:sz w:val="22"/>
          <w:szCs w:val="22"/>
        </w:rPr>
        <w:t xml:space="preserve">Support Wave et Orange Money pour les paiements en Afrique de l'Ouest</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3.7 Événements</w:t>
      </w:r>
    </w:p>
    <w:p>
      <w:pPr>
        <w:pStyle w:val="ListParagraph"/>
        <w:numPr>
          <w:ilvl w:val="0"/>
          <w:numId w:val="2"/>
        </w:numPr>
        <w:spacing w:before="40" w:after="40" w:line="300"/>
      </w:pPr>
      <w:r>
        <w:rPr>
          <w:rFonts w:ascii="Arial" w:cs="Arial" w:eastAsia="Arial" w:hAnsi="Arial"/>
          <w:color w:val="1A2418"/>
          <w:sz w:val="22"/>
          <w:szCs w:val="22"/>
        </w:rPr>
        <w:t xml:space="preserve">Catalogue filtrable — type (masterclass / workshop / networking / demo day / compétition), format (en ligne / présentiel / hybride), date</w:t>
      </w:r>
    </w:p>
    <w:p>
      <w:pPr>
        <w:pStyle w:val="ListParagraph"/>
        <w:numPr>
          <w:ilvl w:val="0"/>
          <w:numId w:val="2"/>
        </w:numPr>
        <w:spacing w:before="40" w:after="40" w:line="300"/>
      </w:pPr>
      <w:r>
        <w:rPr>
          <w:rFonts w:ascii="Arial" w:cs="Arial" w:eastAsia="Arial" w:hAnsi="Arial"/>
          <w:color w:val="1A2418"/>
          <w:sz w:val="22"/>
          <w:szCs w:val="22"/>
        </w:rPr>
        <w:t xml:space="preserve">Événement phare mis en avant — GrowHubLink Summit (annuel) avec page dédiée</w:t>
      </w:r>
    </w:p>
    <w:p>
      <w:pPr>
        <w:pStyle w:val="ListParagraph"/>
        <w:numPr>
          <w:ilvl w:val="0"/>
          <w:numId w:val="2"/>
        </w:numPr>
        <w:spacing w:before="40" w:after="40" w:line="300"/>
      </w:pPr>
      <w:r>
        <w:rPr>
          <w:rFonts w:ascii="Arial" w:cs="Arial" w:eastAsia="Arial" w:hAnsi="Arial"/>
          <w:color w:val="1A2418"/>
          <w:sz w:val="22"/>
          <w:szCs w:val="22"/>
        </w:rPr>
        <w:t xml:space="preserve">Gestion des places — quota, liste d'attente automatique</w:t>
      </w:r>
    </w:p>
    <w:p>
      <w:pPr>
        <w:pStyle w:val="ListParagraph"/>
        <w:numPr>
          <w:ilvl w:val="0"/>
          <w:numId w:val="2"/>
        </w:numPr>
        <w:spacing w:before="40" w:after="40" w:line="300"/>
      </w:pPr>
      <w:r>
        <w:rPr>
          <w:rFonts w:ascii="Arial" w:cs="Arial" w:eastAsia="Arial" w:hAnsi="Arial"/>
          <w:color w:val="1A2418"/>
          <w:sz w:val="22"/>
          <w:szCs w:val="22"/>
        </w:rPr>
        <w:t xml:space="preserve">Inscription en 2 clics — confirmation email + ajout automatique au calendrier</w:t>
      </w:r>
    </w:p>
    <w:p>
      <w:pPr>
        <w:pStyle w:val="ListParagraph"/>
        <w:numPr>
          <w:ilvl w:val="0"/>
          <w:numId w:val="2"/>
        </w:numPr>
        <w:spacing w:before="40" w:after="40" w:line="300"/>
      </w:pPr>
      <w:r>
        <w:rPr>
          <w:rFonts w:ascii="Arial" w:cs="Arial" w:eastAsia="Arial" w:hAnsi="Arial"/>
          <w:color w:val="1A2418"/>
          <w:sz w:val="22"/>
          <w:szCs w:val="22"/>
        </w:rPr>
        <w:t xml:space="preserve">Création d'événements par les membres selon droits (Pro et au-dessus)</w:t>
      </w:r>
    </w:p>
    <w:p>
      <w:pPr>
        <w:pStyle w:val="ListParagraph"/>
        <w:numPr>
          <w:ilvl w:val="0"/>
          <w:numId w:val="2"/>
        </w:numPr>
        <w:spacing w:before="40" w:after="40" w:line="300"/>
      </w:pPr>
      <w:r>
        <w:rPr>
          <w:rFonts w:ascii="Arial" w:cs="Arial" w:eastAsia="Arial" w:hAnsi="Arial"/>
          <w:color w:val="1A2418"/>
          <w:sz w:val="22"/>
          <w:szCs w:val="22"/>
        </w:rPr>
        <w:t xml:space="preserve">Intégration visioconférence — Zoom ou Google Meet selon la préférence de l'organisateur</w:t>
      </w:r>
    </w:p>
    <w:p>
      <w:pPr>
        <w:pStyle w:val="ListParagraph"/>
        <w:numPr>
          <w:ilvl w:val="0"/>
          <w:numId w:val="2"/>
        </w:numPr>
        <w:spacing w:before="40" w:after="40" w:line="300"/>
      </w:pPr>
      <w:r>
        <w:rPr>
          <w:rFonts w:ascii="Arial" w:cs="Arial" w:eastAsia="Arial" w:hAnsi="Arial"/>
          <w:color w:val="1A2418"/>
          <w:sz w:val="22"/>
          <w:szCs w:val="22"/>
        </w:rPr>
        <w:t xml:space="preserve">Rappels automatiques — J-7, J-1, H-1</w:t>
      </w:r>
    </w:p>
    <w:p>
      <w:pPr>
        <w:pStyle w:val="ListParagraph"/>
        <w:numPr>
          <w:ilvl w:val="0"/>
          <w:numId w:val="2"/>
        </w:numPr>
        <w:spacing w:before="40" w:after="40" w:line="300"/>
      </w:pPr>
      <w:r>
        <w:rPr>
          <w:rFonts w:ascii="Arial" w:cs="Arial" w:eastAsia="Arial" w:hAnsi="Arial"/>
          <w:color w:val="1A2418"/>
          <w:sz w:val="22"/>
          <w:szCs w:val="22"/>
        </w:rPr>
        <w:t xml:space="preserve">Bilan post-événement — replay, ressources partagées, photos, avis participants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3.8 Notifications</w:t>
      </w:r>
    </w:p>
    <w:p>
      <w:pPr>
        <w:pStyle w:val="ListParagraph"/>
        <w:numPr>
          <w:ilvl w:val="0"/>
          <w:numId w:val="2"/>
        </w:numPr>
        <w:spacing w:before="40" w:after="40" w:line="300"/>
      </w:pPr>
      <w:r>
        <w:rPr>
          <w:rFonts w:ascii="Arial" w:cs="Arial" w:eastAsia="Arial" w:hAnsi="Arial"/>
          <w:color w:val="1A2418"/>
          <w:sz w:val="22"/>
          <w:szCs w:val="22"/>
        </w:rPr>
        <w:t xml:space="preserve">Centre de notifications avec compteur de non-lus dans la topbar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526"/>
      </w:tblGrid>
      <w:tr>
        <w:trPr>
          <w:tblHeader/>
        </w:trPr>
        <w:tc>
          <w:tcPr>
            <w:tcW w:type="dxa" w:w="2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 de notification</w:t>
            </w:r>
          </w:p>
        </w:tc>
        <w:tc>
          <w:tcPr>
            <w:tcW w:type="dxa" w:w="27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Déclencheur</w:t>
            </w:r>
          </w:p>
        </w:tc>
        <w:tc>
          <w:tcPr>
            <w:tcW w:type="dxa" w:w="35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Canal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Session coaching — rappel</w:t>
            </w:r>
          </w:p>
        </w:tc>
        <w:tc>
          <w:tcPr>
            <w:tcW w:type="dxa" w:w="2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J-1 et H-2 avant la session</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Email + Notification in-app</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Profil consulté par un investisseur</w:t>
            </w:r>
          </w:p>
        </w:tc>
        <w:tc>
          <w:tcPr>
            <w:tcW w:type="dxa" w:w="2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Consultation du profil</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Notification in-app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Nouveau message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Message reçu non lu depuis &gt; 5 min</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Email + Notification in-app</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Demande de connexion</w:t>
            </w:r>
          </w:p>
        </w:tc>
        <w:tc>
          <w:tcPr>
            <w:tcW w:type="dxa" w:w="2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Nouvelle demande reçue</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Notification in-app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Badge débloqué</w:t>
            </w:r>
          </w:p>
        </w:tc>
        <w:tc>
          <w:tcPr>
            <w:tcW w:type="dxa" w:w="2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Critère de badge atteint</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Notification in-app + Email</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Événement — rappel</w:t>
            </w:r>
          </w:p>
        </w:tc>
        <w:tc>
          <w:tcPr>
            <w:tcW w:type="dxa" w:w="2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J-1 avant événement inscrit</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Email + Notification in-app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Rapport hebdomadaire</w:t>
            </w:r>
          </w:p>
        </w:tc>
        <w:tc>
          <w:tcPr>
            <w:tcW w:type="dxa" w:w="2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Chaque lundi matin à 8h</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Email</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Pitch deck évalué</w:t>
            </w:r>
          </w:p>
        </w:tc>
        <w:tc>
          <w:tcPr>
            <w:tcW w:type="dxa" w:w="2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Score IA calculé</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Notification in-app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Nouveau deal flow</w:t>
            </w:r>
          </w:p>
        </w:tc>
        <w:tc>
          <w:tcPr>
            <w:tcW w:type="dxa" w:w="2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Startup correspondant aux critères investisseur</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Email + Notification in-app</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Commentaire sur un post</w:t>
            </w:r>
          </w:p>
        </w:tc>
        <w:tc>
          <w:tcPr>
            <w:tcW w:type="dxa" w:w="2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Réponse sur un post publié</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Notification in-app</w:t>
            </w:r>
          </w:p>
        </w:tc>
      </w:tr>
    </w:tbl>
    <w:p>
      <w:pPr>
        <w:spacing w:before="0" w:after="0"/>
      </w:pPr>
      <w:r>
        <w:t xml:space="preserve"/>
      </w:r>
    </w:p>
    <w:p>
      <w:pPr>
        <w:pStyle w:val="ListParagraph"/>
        <w:numPr>
          <w:ilvl w:val="0"/>
          <w:numId w:val="2"/>
        </w:numPr>
        <w:spacing w:before="40" w:after="40" w:line="300"/>
      </w:pPr>
      <w:r>
        <w:rPr>
          <w:rFonts w:ascii="Arial" w:cs="Arial" w:eastAsia="Arial" w:hAnsi="Arial"/>
          <w:color w:val="1A2418"/>
          <w:sz w:val="22"/>
          <w:szCs w:val="22"/>
        </w:rPr>
        <w:t xml:space="preserve">Préférences de notification granulaires — on/off par catégorie, fréquence (temps réel / quotidien / hebdo)</w:t>
      </w:r>
    </w:p>
    <w:p>
      <w:pPr>
        <w:pStyle w:val="ListParagraph"/>
        <w:numPr>
          <w:ilvl w:val="0"/>
          <w:numId w:val="2"/>
        </w:numPr>
        <w:spacing w:before="40" w:after="40" w:line="300"/>
      </w:pPr>
      <w:r>
        <w:rPr>
          <w:rFonts w:ascii="Arial" w:cs="Arial" w:eastAsia="Arial" w:hAnsi="Arial"/>
          <w:color w:val="1A2418"/>
          <w:sz w:val="22"/>
          <w:szCs w:val="22"/>
        </w:rPr>
        <w:t xml:space="preserve">Marquage lu individuel ou global 'Tout marquer comme lu'</w:t>
      </w:r>
    </w:p>
    <w:p>
      <w:pPr>
        <w:pStyle w:val="ListParagraph"/>
        <w:numPr>
          <w:ilvl w:val="0"/>
          <w:numId w:val="2"/>
        </w:numPr>
        <w:spacing w:before="40" w:after="40" w:line="300"/>
      </w:pPr>
      <w:r>
        <w:rPr>
          <w:rFonts w:ascii="Arial" w:cs="Arial" w:eastAsia="Arial" w:hAnsi="Arial"/>
          <w:color w:val="1A2418"/>
          <w:sz w:val="22"/>
          <w:szCs w:val="22"/>
        </w:rPr>
        <w:t xml:space="preserve">Archivage automatique des notifications &gt; 30 jours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3.9 Analytics &amp; Reporting</w:t>
      </w:r>
    </w:p>
    <w:p>
      <w:pPr>
        <w:pStyle w:val="ListParagraph"/>
        <w:numPr>
          <w:ilvl w:val="0"/>
          <w:numId w:val="2"/>
        </w:numPr>
        <w:spacing w:before="40" w:after="40" w:line="300"/>
      </w:pPr>
      <w:r>
        <w:rPr>
          <w:rFonts w:ascii="Arial" w:cs="Arial" w:eastAsia="Arial" w:hAnsi="Arial"/>
          <w:color w:val="1A2418"/>
          <w:sz w:val="22"/>
          <w:szCs w:val="22"/>
        </w:rPr>
        <w:t xml:space="preserve">Métriques SaaS en temps réel — MRR, ARR projeté, Churn mensuel, LTV, CAC, NRR (Net Revenue Retention)</w:t>
      </w:r>
    </w:p>
    <w:p>
      <w:pPr>
        <w:pStyle w:val="ListParagraph"/>
        <w:numPr>
          <w:ilvl w:val="0"/>
          <w:numId w:val="2"/>
        </w:numPr>
        <w:spacing w:before="40" w:after="40" w:line="300"/>
      </w:pPr>
      <w:r>
        <w:rPr>
          <w:rFonts w:ascii="Arial" w:cs="Arial" w:eastAsia="Arial" w:hAnsi="Arial"/>
          <w:color w:val="1A2418"/>
          <w:sz w:val="22"/>
          <w:szCs w:val="22"/>
        </w:rPr>
        <w:t xml:space="preserve">Graphique d'évolution MRR sur 12 mois glissants avec affichage de la tendance</w:t>
      </w:r>
    </w:p>
    <w:p>
      <w:pPr>
        <w:pStyle w:val="ListParagraph"/>
        <w:numPr>
          <w:ilvl w:val="0"/>
          <w:numId w:val="2"/>
        </w:numPr>
        <w:spacing w:before="40" w:after="40" w:line="300"/>
      </w:pPr>
      <w:r>
        <w:rPr>
          <w:rFonts w:ascii="Arial" w:cs="Arial" w:eastAsia="Arial" w:hAnsi="Arial"/>
          <w:color w:val="1A2418"/>
          <w:sz w:val="22"/>
          <w:szCs w:val="22"/>
        </w:rPr>
        <w:t xml:space="preserve">Analyse des sources d'acquisition clients — répartition en barres horizontales par canal</w:t>
      </w:r>
    </w:p>
    <w:p>
      <w:pPr>
        <w:pStyle w:val="ListParagraph"/>
        <w:numPr>
          <w:ilvl w:val="0"/>
          <w:numId w:val="2"/>
        </w:numPr>
        <w:spacing w:before="40" w:after="40" w:line="300"/>
      </w:pPr>
      <w:r>
        <w:rPr>
          <w:rFonts w:ascii="Arial" w:cs="Arial" w:eastAsia="Arial" w:hAnsi="Arial"/>
          <w:color w:val="1A2418"/>
          <w:sz w:val="22"/>
          <w:szCs w:val="22"/>
        </w:rPr>
        <w:t xml:space="preserve">Insights actionnables générés automatiquement — comparaison avec la médiane des pairs du même secteur/stade</w:t>
      </w:r>
    </w:p>
    <w:p>
      <w:pPr>
        <w:pStyle w:val="ListParagraph"/>
        <w:numPr>
          <w:ilvl w:val="0"/>
          <w:numId w:val="2"/>
        </w:numPr>
        <w:spacing w:before="40" w:after="40" w:line="300"/>
      </w:pPr>
      <w:r>
        <w:rPr>
          <w:rFonts w:ascii="Arial" w:cs="Arial" w:eastAsia="Arial" w:hAnsi="Arial"/>
          <w:color w:val="1A2418"/>
          <w:sz w:val="22"/>
          <w:szCs w:val="22"/>
        </w:rPr>
        <w:t xml:space="preserve">Export du rapport complet — PDF ou Excel, avec période personnalisable</w:t>
      </w:r>
    </w:p>
    <w:p>
      <w:pPr>
        <w:pStyle w:val="ListParagraph"/>
        <w:numPr>
          <w:ilvl w:val="0"/>
          <w:numId w:val="2"/>
        </w:numPr>
        <w:spacing w:before="40" w:after="40" w:line="300"/>
      </w:pPr>
      <w:r>
        <w:rPr>
          <w:rFonts w:ascii="Arial" w:cs="Arial" w:eastAsia="Arial" w:hAnsi="Arial"/>
          <w:color w:val="1A2418"/>
          <w:sz w:val="22"/>
          <w:szCs w:val="22"/>
        </w:rPr>
        <w:t xml:space="preserve">Rapports disponibles par profil : Startup (métriques SaaS), Investisseur (portfolio), Mentor (sessions/revenus), Freelance (CA/missions)</w:t>
      </w:r>
    </w:p>
    <w:p>
      <w:r>
        <w:br w:type="page"/>
      </w:r>
    </w:p>
    <w:p>
      <w:pPr>
        <w:pStyle w:val="Heading1"/>
        <w:spacing w:before="400" w:after="160"/>
      </w:pPr>
      <w:r>
        <w:rPr>
          <w:rFonts w:ascii="Arial" w:cs="Arial" w:eastAsia="Arial" w:hAnsi="Arial"/>
          <w:b/>
          <w:bCs/>
          <w:color w:val="3A8A00"/>
          <w:sz w:val="40"/>
          <w:szCs w:val="40"/>
        </w:rPr>
        <w:t xml:space="preserve">4. Système de devise</w:t>
      </w:r>
    </w:p>
    <w:p>
      <w:pPr>
        <w:pBdr>
          <w:bottom w:val="single" w:color="3A8A00" w:sz="6" w:space="1"/>
        </w:pBdr>
        <w:spacing w:before="160" w:after="160"/>
      </w:pPr>
      <w:r>
        <w:t xml:space="preserve"/>
      </w:r>
    </w:p>
    <w:p>
      <w:pPr>
        <w:spacing w:before="80" w:after="80" w:line="340"/>
        <w:jc w:val="both"/>
      </w:pPr>
      <w:r>
        <w:rPr>
          <w:rFonts w:ascii="Arial" w:cs="Arial" w:eastAsia="Arial" w:hAnsi="Arial"/>
          <w:color w:val="1A2418"/>
          <w:sz w:val="22"/>
          <w:szCs w:val="22"/>
        </w:rPr>
        <w:t xml:space="preserve">La gestion de la devise est une fonctionnalité structurante de GrowHubLink, la plateforme étant principalement destinée à des utilisateurs en zone franc CFA. Tous les montants affichés sont convertibles dynamiquement dans la devise choisie par l'utilisateur, sans rechargement de page.</w:t>
      </w:r>
    </w:p>
    <w:p>
      <w:pPr>
        <w:spacing w:before="0" w:after="0"/>
      </w:pPr>
      <w:r>
        <w:t xml:space="preserve"/>
      </w:r>
    </w:p>
    <w:tbl>
      <w:tblPr>
        <w:tblW w:type="dxa" w:w="9026"/>
        <w:tblBorders>
          <w:top w:val="single" w:color="3A8A00" w:sz="8"/>
          <w:left w:val="single" w:color="3A8A00" w:sz="8"/>
          <w:bottom w:val="single" w:color="3A8A00" w:sz="8"/>
          <w:right w:val="single" w:color="3A8A00" w:sz="8"/>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BF5E0" w:val="clear"/>
            <w:tcMar>
              <w:top w:type="dxa" w:w="140"/>
              <w:left w:type="dxa" w:w="200"/>
              <w:bottom w:type="dxa" w:w="140"/>
              <w:right w:type="dxa" w:w="200"/>
            </w:tcMar>
          </w:tcPr>
          <w:p>
            <w:pPr>
              <w:spacing w:before="40" w:after="40" w:line="300"/>
            </w:pPr>
            <w:r>
              <w:rPr>
                <w:rFonts w:ascii="Arial" w:cs="Arial" w:eastAsia="Arial" w:hAnsi="Arial"/>
                <w:color w:val="1A2418"/>
                <w:sz w:val="22"/>
                <w:szCs w:val="22"/>
              </w:rPr>
              <w:t xml:space="preserve">💱  Devise par défaut au premier chargement : XOF — Franc CFA BCEAO</w:t>
            </w:r>
          </w:p>
          <w:p>
            <w:pPr>
              <w:spacing w:before="40" w:after="40" w:line="300"/>
            </w:pPr>
            <w:r>
              <w:rPr>
                <w:rFonts w:ascii="Arial" w:cs="Arial" w:eastAsia="Arial" w:hAnsi="Arial"/>
                <w:color w:val="1A2418"/>
                <w:sz w:val="22"/>
                <w:szCs w:val="22"/>
              </w:rPr>
              <w:t xml:space="preserve">💾  Préférence sauvegardée en storage persistant (cross-sessions)</w:t>
            </w:r>
          </w:p>
          <w:p>
            <w:pPr>
              <w:spacing w:before="40" w:after="40" w:line="300"/>
            </w:pPr>
            <w:r>
              <w:rPr>
                <w:rFonts w:ascii="Arial" w:cs="Arial" w:eastAsia="Arial" w:hAnsi="Arial"/>
                <w:color w:val="1A2418"/>
                <w:sz w:val="22"/>
                <w:szCs w:val="22"/>
              </w:rPr>
              <w:t xml:space="preserve">⚡  Conversion en temps réel — aucun rechargement de page nécessaire</w:t>
            </w:r>
          </w:p>
          <w:p>
            <w:pPr>
              <w:spacing w:before="40" w:after="40" w:line="300"/>
            </w:pPr>
            <w:r>
              <w:rPr>
                <w:rFonts w:ascii="Arial" w:cs="Arial" w:eastAsia="Arial" w:hAnsi="Arial"/>
                <w:color w:val="1A2418"/>
                <w:sz w:val="22"/>
                <w:szCs w:val="22"/>
              </w:rPr>
              <w:t xml:space="preserve">🔧  Accessible via : Paramètres → Devise d'affichage</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4.1 Devises supportées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000"/>
        <w:gridCol w:w="3926"/>
      </w:tblGrid>
      <w:tr>
        <w:trPr>
          <w:tblHeader/>
        </w:trPr>
        <w:tc>
          <w:tcPr>
            <w:tcW w:type="dxa" w:w="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Code</w:t>
            </w:r>
          </w:p>
        </w:tc>
        <w:tc>
          <w:tcPr>
            <w:tcW w:type="dxa" w:w="23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 complet</w:t>
            </w:r>
          </w:p>
        </w:tc>
        <w:tc>
          <w:tcPr>
            <w:tcW w:type="dxa" w:w="20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Format d'affichage</w:t>
            </w:r>
          </w:p>
        </w:tc>
        <w:tc>
          <w:tcPr>
            <w:tcW w:type="dxa" w:w="39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Zone géographique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XOF</w:t>
            </w:r>
          </w:p>
        </w:tc>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Franc CFA BCEAO (par défaut)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1 500 000 XOF</w:t>
            </w:r>
          </w:p>
        </w:tc>
        <w:tc>
          <w:tcPr>
            <w:tcW w:type="dxa" w:w="39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Afrique de l'Ouest (UEMOA)</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EUR</w:t>
            </w:r>
          </w:p>
        </w:tc>
        <w:tc>
          <w:tcPr>
            <w:tcW w:type="dxa" w:w="2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Euro</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€1 500</w:t>
            </w:r>
          </w:p>
        </w:tc>
        <w:tc>
          <w:tcPr>
            <w:tcW w:type="dxa" w:w="39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France, zone Euro</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USD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Dollar américain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$1 650</w:t>
            </w:r>
          </w:p>
        </w:tc>
        <w:tc>
          <w:tcPr>
            <w:tcW w:type="dxa" w:w="39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USA, marchés internationaux</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GBP</w:t>
            </w:r>
          </w:p>
        </w:tc>
        <w:tc>
          <w:tcPr>
            <w:tcW w:type="dxa" w:w="2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Livre sterling</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£1 290</w:t>
            </w:r>
          </w:p>
        </w:tc>
        <w:tc>
          <w:tcPr>
            <w:tcW w:type="dxa" w:w="39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Royaume-Uni</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MAD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Dirham marocain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16 200 MAD</w:t>
            </w:r>
          </w:p>
        </w:tc>
        <w:tc>
          <w:tcPr>
            <w:tcW w:type="dxa" w:w="39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Maroc</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NGN</w:t>
            </w:r>
          </w:p>
        </w:tc>
        <w:tc>
          <w:tcPr>
            <w:tcW w:type="dxa" w:w="2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Naira nigérian</w:t>
            </w:r>
          </w:p>
        </w:tc>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₦2 475 000</w:t>
            </w:r>
          </w:p>
        </w:tc>
        <w:tc>
          <w:tcPr>
            <w:tcW w:type="dxa" w:w="39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Nigeria</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GHS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Cédi ghanéen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24 300 GHS</w:t>
            </w:r>
          </w:p>
        </w:tc>
        <w:tc>
          <w:tcPr>
            <w:tcW w:type="dxa" w:w="39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Ghana</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4.2 Implémentation technique</w:t>
      </w:r>
    </w:p>
    <w:p>
      <w:pPr>
        <w:pStyle w:val="ListParagraph"/>
        <w:numPr>
          <w:ilvl w:val="0"/>
          <w:numId w:val="2"/>
        </w:numPr>
        <w:spacing w:before="40" w:after="40" w:line="300"/>
      </w:pPr>
      <w:r>
        <w:rPr>
          <w:rFonts w:ascii="Arial" w:cs="Arial" w:eastAsia="Arial" w:hAnsi="Arial"/>
          <w:color w:val="1A2418"/>
          <w:sz w:val="22"/>
          <w:szCs w:val="22"/>
        </w:rPr>
        <w:t xml:space="preserve">Tous les montants HTML sont annotés avec l'attribut data-eur (valeur de référence en EUR)</w:t>
      </w:r>
    </w:p>
    <w:p>
      <w:pPr>
        <w:pStyle w:val="ListParagraph"/>
        <w:numPr>
          <w:ilvl w:val="0"/>
          <w:numId w:val="2"/>
        </w:numPr>
        <w:spacing w:before="40" w:after="40" w:line="300"/>
      </w:pPr>
      <w:r>
        <w:rPr>
          <w:rFonts w:ascii="Arial" w:cs="Arial" w:eastAsia="Arial" w:hAnsi="Arial"/>
          <w:color w:val="1A2418"/>
          <w:sz w:val="22"/>
          <w:szCs w:val="22"/>
        </w:rPr>
        <w:t xml:space="preserve">La fonction applyCurrency() parcourt le DOM via querySelectorAll('[data-eur]') et recalcule chaque montant</w:t>
      </w:r>
    </w:p>
    <w:p>
      <w:pPr>
        <w:pStyle w:val="ListParagraph"/>
        <w:numPr>
          <w:ilvl w:val="0"/>
          <w:numId w:val="2"/>
        </w:numPr>
        <w:spacing w:before="40" w:after="40" w:line="300"/>
      </w:pPr>
      <w:r>
        <w:rPr>
          <w:rFonts w:ascii="Arial" w:cs="Arial" w:eastAsia="Arial" w:hAnsi="Arial"/>
          <w:color w:val="1A2418"/>
          <w:sz w:val="22"/>
          <w:szCs w:val="22"/>
        </w:rPr>
        <w:t xml:space="preserve">Les taux de conversion sont stockés dans un objet rates côté client — mise à jour via API de taux de change en production</w:t>
      </w:r>
    </w:p>
    <w:p>
      <w:pPr>
        <w:pStyle w:val="ListParagraph"/>
        <w:numPr>
          <w:ilvl w:val="0"/>
          <w:numId w:val="2"/>
        </w:numPr>
        <w:spacing w:before="40" w:after="40" w:line="300"/>
      </w:pPr>
      <w:r>
        <w:rPr>
          <w:rFonts w:ascii="Arial" w:cs="Arial" w:eastAsia="Arial" w:hAnsi="Arial"/>
          <w:color w:val="1A2418"/>
          <w:sz w:val="22"/>
          <w:szCs w:val="22"/>
        </w:rPr>
        <w:t xml:space="preserve">La préférence est persistée via window.storage.set('user_currency', code) et chargée au démarrage via loadCurrencyPref()</w:t>
      </w:r>
    </w:p>
    <w:p>
      <w:pPr>
        <w:pStyle w:val="ListParagraph"/>
        <w:numPr>
          <w:ilvl w:val="0"/>
          <w:numId w:val="2"/>
        </w:numPr>
        <w:spacing w:before="40" w:after="40" w:line="300"/>
      </w:pPr>
      <w:r>
        <w:rPr>
          <w:rFonts w:ascii="Arial" w:cs="Arial" w:eastAsia="Arial" w:hAnsi="Arial"/>
          <w:color w:val="1A2418"/>
          <w:sz w:val="22"/>
          <w:szCs w:val="22"/>
        </w:rPr>
        <w:t xml:space="preserve">Le sélecteur HTML &lt;select id='currencySelect'&gt; dans les Paramètres déclenche la fonction setCurrency(code)</w:t>
      </w:r>
    </w:p>
    <w:p>
      <w:pPr>
        <w:pStyle w:val="ListParagraph"/>
        <w:numPr>
          <w:ilvl w:val="0"/>
          <w:numId w:val="2"/>
        </w:numPr>
        <w:spacing w:before="40" w:after="40" w:line="300"/>
      </w:pPr>
      <w:r>
        <w:rPr>
          <w:rFonts w:ascii="Arial" w:cs="Arial" w:eastAsia="Arial" w:hAnsi="Arial"/>
          <w:color w:val="1A2418"/>
          <w:sz w:val="22"/>
          <w:szCs w:val="22"/>
        </w:rPr>
        <w:t xml:space="preserve">Le taux XOF/EUR est fixe (parité garantie) : 1 EUR = 655,957 XOF — les autres sont dynamiques</w:t>
      </w:r>
    </w:p>
    <w:p>
      <w:pPr>
        <w:pStyle w:val="Heading2"/>
        <w:spacing w:before="300" w:after="120"/>
      </w:pPr>
      <w:r>
        <w:rPr>
          <w:rFonts w:ascii="Arial" w:cs="Arial" w:eastAsia="Arial" w:hAnsi="Arial"/>
          <w:b/>
          <w:bCs/>
          <w:color w:val="1A2418"/>
          <w:sz w:val="30"/>
          <w:szCs w:val="30"/>
        </w:rPr>
        <w:t xml:space="preserve">4.3 Taux de conversion de référence</w:t>
      </w:r>
    </w:p>
    <w:p>
      <w:pPr>
        <w:spacing w:before="80" w:after="80" w:line="340"/>
        <w:jc w:val="both"/>
      </w:pPr>
      <w:r>
        <w:rPr>
          <w:rFonts w:ascii="Arial" w:cs="Arial" w:eastAsia="Arial" w:hAnsi="Arial"/>
          <w:color w:val="1A2418"/>
          <w:sz w:val="22"/>
          <w:szCs w:val="22"/>
        </w:rPr>
        <w:t xml:space="preserve">Note importante : Les taux ci-dessous sont indicatifs. En production, ils doivent être connectés à une API de taux de change en temps réel (Open Exchange Rates, Fixer.io ou equivalents) avec mise à jour quotidienne.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800"/>
        <w:gridCol w:w="3826"/>
      </w:tblGrid>
      <w:tr>
        <w:trPr>
          <w:tblHeader/>
        </w:trPr>
        <w:tc>
          <w:tcPr>
            <w:tcW w:type="dxa" w:w="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Devise</w:t>
            </w:r>
          </w:p>
        </w:tc>
        <w:tc>
          <w:tcPr>
            <w:tcW w:type="dxa" w:w="16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Taux vs 1 EUR</w:t>
            </w:r>
          </w:p>
        </w:tc>
        <w:tc>
          <w:tcPr>
            <w:tcW w:type="dxa" w:w="2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 de taux</w:t>
            </w:r>
          </w:p>
        </w:tc>
        <w:tc>
          <w:tcPr>
            <w:tcW w:type="dxa" w:w="38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Fréquence de mise à jour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XOF</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655,957 XOF</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Fixe (arrimage officiel CFA–Euro)</w:t>
            </w:r>
          </w:p>
        </w:tc>
        <w:tc>
          <w:tcPr>
            <w:tcW w:type="dxa" w:w="3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Permanent</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USD</w:t>
            </w:r>
          </w:p>
        </w:tc>
        <w:tc>
          <w:tcPr>
            <w:tcW w:type="dxa" w:w="1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~1,08 USD</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Variable (marché Forex)</w:t>
            </w:r>
          </w:p>
        </w:tc>
        <w:tc>
          <w:tcPr>
            <w:tcW w:type="dxa" w:w="38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Quotidienne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GBP</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~0,86 GBP</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Variable</w:t>
            </w:r>
          </w:p>
        </w:tc>
        <w:tc>
          <w:tcPr>
            <w:tcW w:type="dxa" w:w="3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Quotidienne</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MAD</w:t>
            </w:r>
          </w:p>
        </w:tc>
        <w:tc>
          <w:tcPr>
            <w:tcW w:type="dxa" w:w="1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~10,8 MAD</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Variable</w:t>
            </w:r>
          </w:p>
        </w:tc>
        <w:tc>
          <w:tcPr>
            <w:tcW w:type="dxa" w:w="38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Quotidienne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NGN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~1 650 NGN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Variable — volatilité élevée</w:t>
            </w:r>
          </w:p>
        </w:tc>
        <w:tc>
          <w:tcPr>
            <w:tcW w:type="dxa" w:w="38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Quotidienne (min.)</w:t>
            </w:r>
          </w:p>
        </w:tc>
      </w:tr>
      <w:tr>
        <w:tc>
          <w:tcPr>
            <w:tcW w:type="dxa" w:w="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GHS</w:t>
            </w:r>
          </w:p>
        </w:tc>
        <w:tc>
          <w:tcPr>
            <w:tcW w:type="dxa" w:w="1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~16,2 GHS</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Variable</w:t>
            </w:r>
          </w:p>
        </w:tc>
        <w:tc>
          <w:tcPr>
            <w:tcW w:type="dxa" w:w="38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Quotidienne</w:t>
            </w:r>
          </w:p>
        </w:tc>
      </w:tr>
    </w:tbl>
    <w:p>
      <w:r>
        <w:br w:type="page"/>
      </w:r>
    </w:p>
    <w:p>
      <w:pPr>
        <w:pStyle w:val="Heading1"/>
        <w:spacing w:before="400" w:after="160"/>
      </w:pPr>
      <w:r>
        <w:rPr>
          <w:rFonts w:ascii="Arial" w:cs="Arial" w:eastAsia="Arial" w:hAnsi="Arial"/>
          <w:b/>
          <w:bCs/>
          <w:color w:val="3A8A00"/>
          <w:sz w:val="40"/>
          <w:szCs w:val="40"/>
        </w:rPr>
        <w:t xml:space="preserve">5. Architecture technique</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5.1 Stack technologique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Couche</w:t>
            </w:r>
          </w:p>
        </w:tc>
        <w:tc>
          <w:tcPr>
            <w:tcW w:type="dxa" w:w="26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Technologie</w:t>
            </w:r>
          </w:p>
        </w:tc>
        <w:tc>
          <w:tcPr>
            <w:tcW w:type="dxa" w:w="44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React 18 + TypeScript + Vite</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Performance, composants réutilisables, typage strict, build rapide</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Styling</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Tailwind CSS + Design System custom</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Cohérence visuelle, maintenabilité, rapid prototyping</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Zustand (global) + React Query (serveur)</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Simplicité, cache automatique, optimistic updates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Routing</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React Router v6</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SPA routing, lazy loading, protected routes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Node.js + NestJS (TypeScript)</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Scalable, modules, decorators, DI, WebSockets natifs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Base de données</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PostgreSQL 16 (principal) + Redis 7 (cache)</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Relationnel robuste + cache/sessions/temps réel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ORM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Prisma</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Type-safe, migrations automatiques, Postgres + Redis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Authentification</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JWT (access + refresh tokens) + Passport.js</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Standard sécurisé, OAuth2 (Google, LinkedIn) ready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Storage fichiers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AWS S3 ou Cloudflare R2</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Scalable, économique, CDN intégré</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Recherche</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Typesense (self-hosted) ou Elasticsearch</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Full-text search rapide, facettes, typo-tolerance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Temps réel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Socket.io (WebSockets)</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Feed, messages, notifications, présence</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Email transactionnel</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Brevo (ex-Sendinblue)</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Disponible en Afrique, RGPD, templates HTML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Paiements internationaux</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Stripe + Stripe Connect</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Marketplace payments, virements experts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Paiements Afrique</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Wave, Orange Money, MTN MoMo</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Couverture locale Afrique de l'Ouest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Hébergement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AWS (eu-west-1 + af-south-1) ou OVH</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RGPD, latence Afrique, redondance</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CDN</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Cloudflare</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Performance mondiale, DDoS protection, cache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Monitoring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Datadog (APM + logs) + Sentry (erreurs)</w:t>
            </w:r>
          </w:p>
        </w:tc>
        <w:tc>
          <w:tcPr>
            <w:tcW w:type="dxa" w:w="4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Observabilité complète, alertes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CI/CD</w:t>
            </w:r>
          </w:p>
        </w:tc>
        <w:tc>
          <w:tcPr>
            <w:tcW w:type="dxa" w:w="2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GitHub Actions + Docker + Kubernetes</w:t>
            </w:r>
          </w:p>
        </w:tc>
        <w:tc>
          <w:tcPr>
            <w:tcW w:type="dxa" w:w="4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Déploiement automatisé, rollback, scalabilité</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5.2 Architecture multi-tenant</w:t>
      </w:r>
    </w:p>
    <w:p>
      <w:pPr>
        <w:pStyle w:val="ListParagraph"/>
        <w:numPr>
          <w:ilvl w:val="0"/>
          <w:numId w:val="2"/>
        </w:numPr>
        <w:spacing w:before="40" w:after="40" w:line="300"/>
      </w:pPr>
      <w:r>
        <w:rPr>
          <w:rFonts w:ascii="Arial" w:cs="Arial" w:eastAsia="Arial" w:hAnsi="Arial"/>
          <w:color w:val="1A2418"/>
          <w:sz w:val="22"/>
          <w:szCs w:val="22"/>
        </w:rPr>
        <w:t xml:space="preserve">Isolation des données par organisation (incubateur, entreprise, fond d'investissement)</w:t>
      </w:r>
    </w:p>
    <w:p>
      <w:pPr>
        <w:pStyle w:val="ListParagraph"/>
        <w:numPr>
          <w:ilvl w:val="0"/>
          <w:numId w:val="2"/>
        </w:numPr>
        <w:spacing w:before="40" w:after="40" w:line="300"/>
      </w:pPr>
      <w:r>
        <w:rPr>
          <w:rFonts w:ascii="Arial" w:cs="Arial" w:eastAsia="Arial" w:hAnsi="Arial"/>
          <w:color w:val="1A2418"/>
          <w:sz w:val="22"/>
          <w:szCs w:val="22"/>
        </w:rPr>
        <w:t xml:space="preserve">Rôles et permissions granulaires — RBAC (Role-Based Access Control) avec 5 niveaux : Super Admin / Admin Organisation / Manager / Membre / Invité</w:t>
      </w:r>
    </w:p>
    <w:p>
      <w:pPr>
        <w:pStyle w:val="ListParagraph"/>
        <w:numPr>
          <w:ilvl w:val="0"/>
          <w:numId w:val="2"/>
        </w:numPr>
        <w:spacing w:before="40" w:after="40" w:line="300"/>
      </w:pPr>
      <w:r>
        <w:rPr>
          <w:rFonts w:ascii="Arial" w:cs="Arial" w:eastAsia="Arial" w:hAnsi="Arial"/>
          <w:color w:val="1A2418"/>
          <w:sz w:val="22"/>
          <w:szCs w:val="22"/>
        </w:rPr>
        <w:t xml:space="preserve">API rate limiting par tenant — protection contre les abus et équité de service</w:t>
      </w:r>
    </w:p>
    <w:p>
      <w:pPr>
        <w:pStyle w:val="ListParagraph"/>
        <w:numPr>
          <w:ilvl w:val="0"/>
          <w:numId w:val="2"/>
        </w:numPr>
        <w:spacing w:before="40" w:after="40" w:line="300"/>
      </w:pPr>
      <w:r>
        <w:rPr>
          <w:rFonts w:ascii="Arial" w:cs="Arial" w:eastAsia="Arial" w:hAnsi="Arial"/>
          <w:color w:val="1A2418"/>
          <w:sz w:val="22"/>
          <w:szCs w:val="22"/>
        </w:rPr>
        <w:t xml:space="preserve">Facturation par tenant avec métriques d'usage (sessions, storage, API calls)</w:t>
      </w:r>
    </w:p>
    <w:p>
      <w:pPr>
        <w:pStyle w:val="ListParagraph"/>
        <w:numPr>
          <w:ilvl w:val="0"/>
          <w:numId w:val="2"/>
        </w:numPr>
        <w:spacing w:before="40" w:after="40" w:line="300"/>
      </w:pPr>
      <w:r>
        <w:rPr>
          <w:rFonts w:ascii="Arial" w:cs="Arial" w:eastAsia="Arial" w:hAnsi="Arial"/>
          <w:color w:val="1A2418"/>
          <w:sz w:val="22"/>
          <w:szCs w:val="22"/>
        </w:rPr>
        <w:t xml:space="preserve">White-label partiel (plan Business+) — logo, couleurs primaires, domaine personnalisé</w:t>
      </w:r>
    </w:p>
    <w:p>
      <w:pPr>
        <w:spacing w:before="0" w:after="0"/>
      </w:pPr>
      <w:r>
        <w:t xml:space="preserve"/>
      </w:r>
    </w:p>
    <w:p>
      <w:pPr>
        <w:pStyle w:val="Heading2"/>
        <w:spacing w:before="300" w:after="120"/>
      </w:pPr>
      <w:r>
        <w:rPr>
          <w:rFonts w:ascii="Arial" w:cs="Arial" w:eastAsia="Arial" w:hAnsi="Arial"/>
          <w:b/>
          <w:bCs/>
          <w:color w:val="1A2418"/>
          <w:sz w:val="30"/>
          <w:szCs w:val="30"/>
        </w:rPr>
        <w:t xml:space="preserve">5.3 Sécurité</w:t>
      </w:r>
    </w:p>
    <w:p>
      <w:pPr>
        <w:pStyle w:val="ListParagraph"/>
        <w:numPr>
          <w:ilvl w:val="0"/>
          <w:numId w:val="2"/>
        </w:numPr>
        <w:spacing w:before="40" w:after="40" w:line="300"/>
      </w:pPr>
      <w:r>
        <w:rPr>
          <w:rFonts w:ascii="Arial" w:cs="Arial" w:eastAsia="Arial" w:hAnsi="Arial"/>
          <w:color w:val="1A2418"/>
          <w:sz w:val="22"/>
          <w:szCs w:val="22"/>
        </w:rPr>
        <w:t xml:space="preserve">Chiffrement au repos — AES-256 pour les données sensibles (mots de passe, documents personnels)</w:t>
      </w:r>
    </w:p>
    <w:p>
      <w:pPr>
        <w:pStyle w:val="ListParagraph"/>
        <w:numPr>
          <w:ilvl w:val="0"/>
          <w:numId w:val="2"/>
        </w:numPr>
        <w:spacing w:before="40" w:after="40" w:line="300"/>
      </w:pPr>
      <w:r>
        <w:rPr>
          <w:rFonts w:ascii="Arial" w:cs="Arial" w:eastAsia="Arial" w:hAnsi="Arial"/>
          <w:color w:val="1A2418"/>
          <w:sz w:val="22"/>
          <w:szCs w:val="22"/>
        </w:rPr>
        <w:t xml:space="preserve">Chiffrement en transit — TLS 1.3 obligatoire, HSTS, certificats Let's Encrypt auto-renouvelés</w:t>
      </w:r>
    </w:p>
    <w:p>
      <w:pPr>
        <w:pStyle w:val="ListParagraph"/>
        <w:numPr>
          <w:ilvl w:val="0"/>
          <w:numId w:val="2"/>
        </w:numPr>
        <w:spacing w:before="40" w:after="40" w:line="300"/>
      </w:pPr>
      <w:r>
        <w:rPr>
          <w:rFonts w:ascii="Arial" w:cs="Arial" w:eastAsia="Arial" w:hAnsi="Arial"/>
          <w:color w:val="1A2418"/>
          <w:sz w:val="22"/>
          <w:szCs w:val="22"/>
        </w:rPr>
        <w:t xml:space="preserve">Authentification multi-facteurs (2FA) — TOTP (Google Authenticator) optionnel utilisateurs, obligatoire admins</w:t>
      </w:r>
    </w:p>
    <w:p>
      <w:pPr>
        <w:pStyle w:val="ListParagraph"/>
        <w:numPr>
          <w:ilvl w:val="0"/>
          <w:numId w:val="2"/>
        </w:numPr>
        <w:spacing w:before="40" w:after="40" w:line="300"/>
      </w:pPr>
      <w:r>
        <w:rPr>
          <w:rFonts w:ascii="Arial" w:cs="Arial" w:eastAsia="Arial" w:hAnsi="Arial"/>
          <w:color w:val="1A2418"/>
          <w:sz w:val="22"/>
          <w:szCs w:val="22"/>
        </w:rPr>
        <w:t xml:space="preserve">Audit log complet — traçabilité de toutes les actions sensibles (connexion, accès data room, export)</w:t>
      </w:r>
    </w:p>
    <w:p>
      <w:pPr>
        <w:pStyle w:val="ListParagraph"/>
        <w:numPr>
          <w:ilvl w:val="0"/>
          <w:numId w:val="2"/>
        </w:numPr>
        <w:spacing w:before="40" w:after="40" w:line="300"/>
      </w:pPr>
      <w:r>
        <w:rPr>
          <w:rFonts w:ascii="Arial" w:cs="Arial" w:eastAsia="Arial" w:hAnsi="Arial"/>
          <w:color w:val="1A2418"/>
          <w:sz w:val="22"/>
          <w:szCs w:val="22"/>
        </w:rPr>
        <w:t xml:space="preserve">Conformité RGPD — droit à l'oubli (suppression &lt; 30j), export des données (JSON/CSV), consentements explicites</w:t>
      </w:r>
    </w:p>
    <w:p>
      <w:pPr>
        <w:pStyle w:val="ListParagraph"/>
        <w:numPr>
          <w:ilvl w:val="0"/>
          <w:numId w:val="2"/>
        </w:numPr>
        <w:spacing w:before="40" w:after="40" w:line="300"/>
      </w:pPr>
      <w:r>
        <w:rPr>
          <w:rFonts w:ascii="Arial" w:cs="Arial" w:eastAsia="Arial" w:hAnsi="Arial"/>
          <w:color w:val="1A2418"/>
          <w:sz w:val="22"/>
          <w:szCs w:val="22"/>
        </w:rPr>
        <w:t xml:space="preserve">Politique de mots de passe — longueur min. 12 caractères, historique 10 mots de passe, expiration 180j (admins)</w:t>
      </w:r>
    </w:p>
    <w:p>
      <w:pPr>
        <w:pStyle w:val="ListParagraph"/>
        <w:numPr>
          <w:ilvl w:val="0"/>
          <w:numId w:val="2"/>
        </w:numPr>
        <w:spacing w:before="40" w:after="40" w:line="300"/>
      </w:pPr>
      <w:r>
        <w:rPr>
          <w:rFonts w:ascii="Arial" w:cs="Arial" w:eastAsia="Arial" w:hAnsi="Arial"/>
          <w:color w:val="1A2418"/>
          <w:sz w:val="22"/>
          <w:szCs w:val="22"/>
        </w:rPr>
        <w:t xml:space="preserve">Penetration testing — audit externe obligatoire avant la mise en production initiale, puis annuellement</w:t>
      </w:r>
    </w:p>
    <w:p>
      <w:pPr>
        <w:pStyle w:val="ListParagraph"/>
        <w:numPr>
          <w:ilvl w:val="0"/>
          <w:numId w:val="2"/>
        </w:numPr>
        <w:spacing w:before="40" w:after="40" w:line="300"/>
      </w:pPr>
      <w:r>
        <w:rPr>
          <w:rFonts w:ascii="Arial" w:cs="Arial" w:eastAsia="Arial" w:hAnsi="Arial"/>
          <w:color w:val="1A2418"/>
          <w:sz w:val="22"/>
          <w:szCs w:val="22"/>
        </w:rPr>
        <w:t xml:space="preserve">Dependency scanning — Snyk ou Dependabot pour détecter les vulnérabilités CVE dans les librairies</w:t>
      </w:r>
    </w:p>
    <w:p>
      <w:pPr>
        <w:pStyle w:val="ListParagraph"/>
        <w:numPr>
          <w:ilvl w:val="0"/>
          <w:numId w:val="2"/>
        </w:numPr>
        <w:spacing w:before="40" w:after="40" w:line="300"/>
      </w:pPr>
      <w:r>
        <w:rPr>
          <w:rFonts w:ascii="Arial" w:cs="Arial" w:eastAsia="Arial" w:hAnsi="Arial"/>
          <w:color w:val="1A2418"/>
          <w:sz w:val="22"/>
          <w:szCs w:val="22"/>
        </w:rPr>
        <w:t xml:space="preserve">Headers de sécurité — CSP, X-Frame-Options, X-Content-Type-Options, Referrer-Policy</w:t>
      </w:r>
    </w:p>
    <w:p>
      <w:pPr>
        <w:spacing w:before="0" w:after="0"/>
      </w:pPr>
      <w:r>
        <w:t xml:space="preserve"/>
      </w:r>
    </w:p>
    <w:p>
      <w:pPr>
        <w:pStyle w:val="Heading2"/>
        <w:spacing w:before="300" w:after="120"/>
      </w:pPr>
      <w:r>
        <w:rPr>
          <w:rFonts w:ascii="Arial" w:cs="Arial" w:eastAsia="Arial" w:hAnsi="Arial"/>
          <w:b/>
          <w:bCs/>
          <w:color w:val="1A2418"/>
          <w:sz w:val="30"/>
          <w:szCs w:val="30"/>
        </w:rPr>
        <w:t xml:space="preserve">5.4 Performance cible et scalabilité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rPr>
          <w:tblHeader/>
        </w:trPr>
        <w:tc>
          <w:tcPr>
            <w:tcW w:type="dxa" w:w="2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Métrique</w:t>
            </w:r>
          </w:p>
        </w:tc>
        <w:tc>
          <w:tcPr>
            <w:tcW w:type="dxa" w:w="14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Seuil acceptable</w:t>
            </w:r>
          </w:p>
        </w:tc>
        <w:tc>
          <w:tcPr>
            <w:tcW w:type="dxa" w:w="14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Seuil cible</w:t>
            </w:r>
          </w:p>
        </w:tc>
        <w:tc>
          <w:tcPr>
            <w:tcW w:type="dxa" w:w="34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Outil de mesure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LCP (Largest Contentful Paint)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4,0 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2,5 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Lighthouse / WebPageTest</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FID (First Input Delay)</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&lt; 300 ms</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&lt; 100 ms</w:t>
            </w:r>
          </w:p>
        </w:tc>
        <w:tc>
          <w:tcPr>
            <w:tcW w:type="dxa" w:w="3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Lighthouse / CrUX</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CLS (Cumulative Layout Shift)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0,25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0,1</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Lighthouse</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API response time (P95)</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&lt; 500 ms</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&lt; 200 ms</w:t>
            </w:r>
          </w:p>
        </w:tc>
        <w:tc>
          <w:tcPr>
            <w:tcW w:type="dxa" w:w="3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Datadog APM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Uptime mensuel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&gt; 99,5%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&gt; 99,9%</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Uptime monitoring</w:t>
            </w:r>
          </w:p>
        </w:tc>
      </w:tr>
      <w:tr>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Utilisateurs simultanés</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1 000</w:t>
            </w:r>
          </w:p>
        </w:tc>
        <w:tc>
          <w:tcPr>
            <w:tcW w:type="dxa" w:w="14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5 000</w:t>
            </w:r>
          </w:p>
        </w:tc>
        <w:tc>
          <w:tcPr>
            <w:tcW w:type="dxa" w:w="3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Tests de charge k6</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Temps de build CI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5 min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2 min</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GitHub Actions</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5.5 Infrastructure et disponibilité</w:t>
      </w:r>
    </w:p>
    <w:p>
      <w:pPr>
        <w:pStyle w:val="ListParagraph"/>
        <w:numPr>
          <w:ilvl w:val="0"/>
          <w:numId w:val="2"/>
        </w:numPr>
        <w:spacing w:before="40" w:after="40" w:line="300"/>
      </w:pPr>
      <w:r>
        <w:rPr>
          <w:rFonts w:ascii="Arial" w:cs="Arial" w:eastAsia="Arial" w:hAnsi="Arial"/>
          <w:color w:val="1A2418"/>
          <w:sz w:val="22"/>
          <w:szCs w:val="22"/>
        </w:rPr>
        <w:t xml:space="preserve">SLA cible : 99,9% uptime (équivalent &lt; 8,7 heures de downtime par an)</w:t>
      </w:r>
    </w:p>
    <w:p>
      <w:pPr>
        <w:pStyle w:val="ListParagraph"/>
        <w:numPr>
          <w:ilvl w:val="0"/>
          <w:numId w:val="2"/>
        </w:numPr>
        <w:spacing w:before="40" w:after="40" w:line="300"/>
      </w:pPr>
      <w:r>
        <w:rPr>
          <w:rFonts w:ascii="Arial" w:cs="Arial" w:eastAsia="Arial" w:hAnsi="Arial"/>
          <w:color w:val="1A2418"/>
          <w:sz w:val="22"/>
          <w:szCs w:val="22"/>
        </w:rPr>
        <w:t xml:space="preserve">Architecture multi-zones — instances redondantes dans minimum 2 zones de disponibilité</w:t>
      </w:r>
    </w:p>
    <w:p>
      <w:pPr>
        <w:pStyle w:val="ListParagraph"/>
        <w:numPr>
          <w:ilvl w:val="0"/>
          <w:numId w:val="2"/>
        </w:numPr>
        <w:spacing w:before="40" w:after="40" w:line="300"/>
      </w:pPr>
      <w:r>
        <w:rPr>
          <w:rFonts w:ascii="Arial" w:cs="Arial" w:eastAsia="Arial" w:hAnsi="Arial"/>
          <w:color w:val="1A2418"/>
          <w:sz w:val="22"/>
          <w:szCs w:val="22"/>
        </w:rPr>
        <w:t xml:space="preserve">Auto-scaling horizontal — ajustement automatique du nombre d'instances selon la charge</w:t>
      </w:r>
    </w:p>
    <w:p>
      <w:pPr>
        <w:pStyle w:val="ListParagraph"/>
        <w:numPr>
          <w:ilvl w:val="0"/>
          <w:numId w:val="2"/>
        </w:numPr>
        <w:spacing w:before="40" w:after="40" w:line="300"/>
      </w:pPr>
      <w:r>
        <w:rPr>
          <w:rFonts w:ascii="Arial" w:cs="Arial" w:eastAsia="Arial" w:hAnsi="Arial"/>
          <w:color w:val="1A2418"/>
          <w:sz w:val="22"/>
          <w:szCs w:val="22"/>
        </w:rPr>
        <w:t xml:space="preserve">Sauvegardes PostgreSQL — automatiques toutes les 6 heures, rétention 30 jours, test de restauration mensuel</w:t>
      </w:r>
    </w:p>
    <w:p>
      <w:pPr>
        <w:pStyle w:val="ListParagraph"/>
        <w:numPr>
          <w:ilvl w:val="0"/>
          <w:numId w:val="2"/>
        </w:numPr>
        <w:spacing w:before="40" w:after="40" w:line="300"/>
      </w:pPr>
      <w:r>
        <w:rPr>
          <w:rFonts w:ascii="Arial" w:cs="Arial" w:eastAsia="Arial" w:hAnsi="Arial"/>
          <w:color w:val="1A2418"/>
          <w:sz w:val="22"/>
          <w:szCs w:val="22"/>
        </w:rPr>
        <w:t xml:space="preserve">Environnements — Développement / Staging (données anonymisées) / Production</w:t>
      </w:r>
    </w:p>
    <w:p>
      <w:pPr>
        <w:pStyle w:val="ListParagraph"/>
        <w:numPr>
          <w:ilvl w:val="0"/>
          <w:numId w:val="2"/>
        </w:numPr>
        <w:spacing w:before="40" w:after="40" w:line="300"/>
      </w:pPr>
      <w:r>
        <w:rPr>
          <w:rFonts w:ascii="Arial" w:cs="Arial" w:eastAsia="Arial" w:hAnsi="Arial"/>
          <w:color w:val="1A2418"/>
          <w:sz w:val="22"/>
          <w:szCs w:val="22"/>
        </w:rPr>
        <w:t xml:space="preserve">Déploiement blue-green — zéro downtime, rollback automatique en cas d'erreur post-déploiement</w:t>
      </w:r>
    </w:p>
    <w:p>
      <w:r>
        <w:br w:type="page"/>
      </w:r>
    </w:p>
    <w:p>
      <w:pPr>
        <w:pStyle w:val="Heading1"/>
        <w:spacing w:before="400" w:after="160"/>
      </w:pPr>
      <w:r>
        <w:rPr>
          <w:rFonts w:ascii="Arial" w:cs="Arial" w:eastAsia="Arial" w:hAnsi="Arial"/>
          <w:b/>
          <w:bCs/>
          <w:color w:val="3A8A00"/>
          <w:sz w:val="40"/>
          <w:szCs w:val="40"/>
        </w:rPr>
        <w:t xml:space="preserve">6. Expérience utilisateur &amp; Design</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6.1 Charte graphique GrowHubLink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Élément</w:t>
            </w:r>
          </w:p>
        </w:tc>
        <w:tc>
          <w:tcPr>
            <w:tcW w:type="dxa" w:w="2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Valeur / Spec.</w:t>
            </w:r>
          </w:p>
        </w:tc>
        <w:tc>
          <w:tcPr>
            <w:tcW w:type="dxa" w:w="42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Couleur primaire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#5CBF00 (Vert GrowHubLink)</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CTA principaux, accents, liens actifs, barres de progression</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Couleur secondaire</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#3A8A00 (Vert foncé)</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Hover states, badges succès, valeurs positives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Sidebar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#182B16 (Vert très foncé)</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Navigation latérale — identité visuelle forte</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Fond principal</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#F4F7F2 (Blanc verdâtre)</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Background des pages, zone de contenu</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Fond cards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#FFFFFF (Blanc pur)</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Cards, modals, panels, formulaires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Fond alterné</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#EBF0E8 (Vert très léger)</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Lignes de tableaux alternées, sections secondaires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Texte principal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#1A2418</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Titres, corps de texte, labels importants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Texte secondaire</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#6B7F65</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Labels, métadonnées, descriptions courtes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Texte discret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#9BAD94</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Timestamps, placeholders, aide contextuelle</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Bordures</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rgba(0,0,0,.07)</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Cards, dividers, séparateurs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Ombre portée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0 2px 16px rgba(0,0,0,.08)</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Elevation cards, modals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Police principale</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Syne (Google Fonts)</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Titres h1 à h4, navigation, éléments de marque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Police secondaire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Inter ou DM Sans</w:t>
            </w:r>
          </w:p>
        </w:tc>
        <w:tc>
          <w:tcPr>
            <w:tcW w:type="dxa" w:w="4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Corps de texte, labels, tableaux, formulaires</w:t>
            </w:r>
          </w:p>
        </w:tc>
      </w:tr>
      <w:tr>
        <w:tc>
          <w:tcPr>
            <w:tcW w:type="dxa" w:w="20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Rayon de bordure</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12–16px (cards), 10px (buttons)</w:t>
            </w:r>
          </w:p>
        </w:tc>
        <w:tc>
          <w:tcPr>
            <w:tcW w:type="dxa" w:w="4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Cohérence des éléments arrondis</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6.2 Structure de navigation</w:t>
      </w:r>
    </w:p>
    <w:p>
      <w:pPr>
        <w:pStyle w:val="ListParagraph"/>
        <w:numPr>
          <w:ilvl w:val="0"/>
          <w:numId w:val="2"/>
        </w:numPr>
        <w:spacing w:before="40" w:after="40" w:line="300"/>
      </w:pPr>
      <w:r>
        <w:rPr>
          <w:rFonts w:ascii="Arial" w:cs="Arial" w:eastAsia="Arial" w:hAnsi="Arial"/>
          <w:color w:val="1A2418"/>
          <w:sz w:val="22"/>
          <w:szCs w:val="22"/>
        </w:rPr>
        <w:t xml:space="preserve">Sidebar latérale fixe (68px de large) avec icônes et labels condensés — navigation principale</w:t>
      </w:r>
    </w:p>
    <w:p>
      <w:pPr>
        <w:pStyle w:val="ListParagraph"/>
        <w:numPr>
          <w:ilvl w:val="0"/>
          <w:numId w:val="2"/>
        </w:numPr>
        <w:spacing w:before="40" w:after="40" w:line="300"/>
      </w:pPr>
      <w:r>
        <w:rPr>
          <w:rFonts w:ascii="Arial" w:cs="Arial" w:eastAsia="Arial" w:hAnsi="Arial"/>
          <w:color w:val="1A2418"/>
          <w:sz w:val="22"/>
          <w:szCs w:val="22"/>
        </w:rPr>
        <w:t xml:space="preserve">7 jeux de menus distincts selon le profil actif — icônes adaptées au contexte métier</w:t>
      </w:r>
    </w:p>
    <w:p>
      <w:pPr>
        <w:pStyle w:val="ListParagraph"/>
        <w:numPr>
          <w:ilvl w:val="0"/>
          <w:numId w:val="2"/>
        </w:numPr>
        <w:spacing w:before="40" w:after="40" w:line="300"/>
      </w:pPr>
      <w:r>
        <w:rPr>
          <w:rFonts w:ascii="Arial" w:cs="Arial" w:eastAsia="Arial" w:hAnsi="Arial"/>
          <w:color w:val="1A2418"/>
          <w:sz w:val="22"/>
          <w:szCs w:val="22"/>
        </w:rPr>
        <w:t xml:space="preserve">Topbar fixe (hauteur 56px) — logo GrowHubLink (cliquable → dashboard), recherche globale, notifications (badge), profil utilisateur</w:t>
      </w:r>
    </w:p>
    <w:p>
      <w:pPr>
        <w:pStyle w:val="ListParagraph"/>
        <w:numPr>
          <w:ilvl w:val="0"/>
          <w:numId w:val="2"/>
        </w:numPr>
        <w:spacing w:before="40" w:after="40" w:line="300"/>
      </w:pPr>
      <w:r>
        <w:rPr>
          <w:rFonts w:ascii="Arial" w:cs="Arial" w:eastAsia="Arial" w:hAnsi="Arial"/>
          <w:color w:val="1A2418"/>
          <w:sz w:val="22"/>
          <w:szCs w:val="22"/>
        </w:rPr>
        <w:t xml:space="preserve">Sélecteur de profil — barre horizontale sous la topbar pour switcher de profil en un clic</w:t>
      </w:r>
    </w:p>
    <w:p>
      <w:pPr>
        <w:pStyle w:val="ListParagraph"/>
        <w:numPr>
          <w:ilvl w:val="0"/>
          <w:numId w:val="2"/>
        </w:numPr>
        <w:spacing w:before="40" w:after="40" w:line="300"/>
      </w:pPr>
      <w:r>
        <w:rPr>
          <w:rFonts w:ascii="Arial" w:cs="Arial" w:eastAsia="Arial" w:hAnsi="Arial"/>
          <w:color w:val="1A2418"/>
          <w:sz w:val="22"/>
          <w:szCs w:val="22"/>
        </w:rPr>
        <w:t xml:space="preserve">Navigation active — highlight du menu courant (fond vert léger + icône verte)</w:t>
      </w:r>
    </w:p>
    <w:p>
      <w:pPr>
        <w:pStyle w:val="ListParagraph"/>
        <w:numPr>
          <w:ilvl w:val="0"/>
          <w:numId w:val="2"/>
        </w:numPr>
        <w:spacing w:before="40" w:after="40" w:line="300"/>
      </w:pPr>
      <w:r>
        <w:rPr>
          <w:rFonts w:ascii="Arial" w:cs="Arial" w:eastAsia="Arial" w:hAnsi="Arial"/>
          <w:color w:val="1A2418"/>
          <w:sz w:val="22"/>
          <w:szCs w:val="22"/>
        </w:rPr>
        <w:t xml:space="preserve">Breadcrumbs — sur les pages avec sous-navigation (ex: Fundraising &gt; Data Room &gt; Documents)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6.3 Responsive et accessibilité</w:t>
      </w:r>
    </w:p>
    <w:p>
      <w:pPr>
        <w:pStyle w:val="ListParagraph"/>
        <w:numPr>
          <w:ilvl w:val="0"/>
          <w:numId w:val="2"/>
        </w:numPr>
        <w:spacing w:before="40" w:after="40" w:line="300"/>
      </w:pPr>
      <w:r>
        <w:rPr>
          <w:rFonts w:ascii="Arial" w:cs="Arial" w:eastAsia="Arial" w:hAnsi="Arial"/>
          <w:color w:val="1A2418"/>
          <w:sz w:val="22"/>
          <w:szCs w:val="22"/>
        </w:rPr>
        <w:t xml:space="preserve">Design mobile-first — breakpoints principaux : 320px (mobile S), 768px (tablette), 1024px (laptop), 1440px (desktop)</w:t>
      </w:r>
    </w:p>
    <w:p>
      <w:pPr>
        <w:pStyle w:val="ListParagraph"/>
        <w:numPr>
          <w:ilvl w:val="0"/>
          <w:numId w:val="2"/>
        </w:numPr>
        <w:spacing w:before="40" w:after="40" w:line="300"/>
      </w:pPr>
      <w:r>
        <w:rPr>
          <w:rFonts w:ascii="Arial" w:cs="Arial" w:eastAsia="Arial" w:hAnsi="Arial"/>
          <w:color w:val="1A2418"/>
          <w:sz w:val="22"/>
          <w:szCs w:val="22"/>
        </w:rPr>
        <w:t xml:space="preserve">Sur mobile — sidebar collapsée en bottom navigation bar, topbar simplifiée</w:t>
      </w:r>
    </w:p>
    <w:p>
      <w:pPr>
        <w:pStyle w:val="ListParagraph"/>
        <w:numPr>
          <w:ilvl w:val="0"/>
          <w:numId w:val="2"/>
        </w:numPr>
        <w:spacing w:before="40" w:after="40" w:line="300"/>
      </w:pPr>
      <w:r>
        <w:rPr>
          <w:rFonts w:ascii="Arial" w:cs="Arial" w:eastAsia="Arial" w:hAnsi="Arial"/>
          <w:color w:val="1A2418"/>
          <w:sz w:val="22"/>
          <w:szCs w:val="22"/>
        </w:rPr>
        <w:t xml:space="preserve">Application mobile native (Phase 2) — React Native avec partage de code business logic</w:t>
      </w:r>
    </w:p>
    <w:p>
      <w:pPr>
        <w:pStyle w:val="ListParagraph"/>
        <w:numPr>
          <w:ilvl w:val="0"/>
          <w:numId w:val="2"/>
        </w:numPr>
        <w:spacing w:before="40" w:after="40" w:line="300"/>
      </w:pPr>
      <w:r>
        <w:rPr>
          <w:rFonts w:ascii="Arial" w:cs="Arial" w:eastAsia="Arial" w:hAnsi="Arial"/>
          <w:color w:val="1A2418"/>
          <w:sz w:val="22"/>
          <w:szCs w:val="22"/>
        </w:rPr>
        <w:t xml:space="preserve">Accessibilité WCAG 2.1 niveau AA — ratios de contraste conformes, attributs ARIA, navigation clavier complète</w:t>
      </w:r>
    </w:p>
    <w:p>
      <w:pPr>
        <w:pStyle w:val="ListParagraph"/>
        <w:numPr>
          <w:ilvl w:val="0"/>
          <w:numId w:val="2"/>
        </w:numPr>
        <w:spacing w:before="40" w:after="40" w:line="300"/>
      </w:pPr>
      <w:r>
        <w:rPr>
          <w:rFonts w:ascii="Arial" w:cs="Arial" w:eastAsia="Arial" w:hAnsi="Arial"/>
          <w:color w:val="1A2418"/>
          <w:sz w:val="22"/>
          <w:szCs w:val="22"/>
        </w:rPr>
        <w:t xml:space="preserve">Support du mode sombre — détection automatique via prefers-color-scheme + bascule manuelle</w:t>
      </w:r>
    </w:p>
    <w:p>
      <w:pPr>
        <w:pStyle w:val="ListParagraph"/>
        <w:numPr>
          <w:ilvl w:val="0"/>
          <w:numId w:val="2"/>
        </w:numPr>
        <w:spacing w:before="40" w:after="40" w:line="300"/>
      </w:pPr>
      <w:r>
        <w:rPr>
          <w:rFonts w:ascii="Arial" w:cs="Arial" w:eastAsia="Arial" w:hAnsi="Arial"/>
          <w:color w:val="1A2418"/>
          <w:sz w:val="22"/>
          <w:szCs w:val="22"/>
        </w:rPr>
        <w:t xml:space="preserve">Support multilingue — Français (Phase 1), Anglais (Phase 2), Arabe avec RTL (Phase 3)</w:t>
      </w:r>
    </w:p>
    <w:p>
      <w:pPr>
        <w:spacing w:before="0" w:after="0"/>
      </w:pPr>
      <w:r>
        <w:t xml:space="preserve"/>
      </w:r>
    </w:p>
    <w:p>
      <w:pPr>
        <w:pStyle w:val="Heading2"/>
        <w:spacing w:before="300" w:after="120"/>
      </w:pPr>
      <w:r>
        <w:rPr>
          <w:rFonts w:ascii="Arial" w:cs="Arial" w:eastAsia="Arial" w:hAnsi="Arial"/>
          <w:b/>
          <w:bCs/>
          <w:color w:val="1A2418"/>
          <w:sz w:val="30"/>
          <w:szCs w:val="30"/>
        </w:rPr>
        <w:t xml:space="preserve">6.4 Onboarding et expérience initiale</w:t>
      </w:r>
    </w:p>
    <w:p>
      <w:pPr>
        <w:pStyle w:val="ListParagraph"/>
        <w:numPr>
          <w:ilvl w:val="0"/>
          <w:numId w:val="2"/>
        </w:numPr>
        <w:spacing w:before="40" w:after="40" w:line="300"/>
      </w:pPr>
      <w:r>
        <w:rPr>
          <w:rFonts w:ascii="Arial" w:cs="Arial" w:eastAsia="Arial" w:hAnsi="Arial"/>
          <w:color w:val="1A2418"/>
          <w:sz w:val="22"/>
          <w:szCs w:val="22"/>
        </w:rPr>
        <w:t xml:space="preserve">Wizard d'inscription en 4 étapes — Email, Mot de passe, Choix du profil, Complétion du profil</w:t>
      </w:r>
    </w:p>
    <w:p>
      <w:pPr>
        <w:pStyle w:val="ListParagraph"/>
        <w:numPr>
          <w:ilvl w:val="0"/>
          <w:numId w:val="2"/>
        </w:numPr>
        <w:spacing w:before="40" w:after="40" w:line="300"/>
      </w:pPr>
      <w:r>
        <w:rPr>
          <w:rFonts w:ascii="Arial" w:cs="Arial" w:eastAsia="Arial" w:hAnsi="Arial"/>
          <w:color w:val="1A2418"/>
          <w:sz w:val="22"/>
          <w:szCs w:val="22"/>
        </w:rPr>
        <w:t xml:space="preserve">Tutoriel interactif contextuel (coach marks) — guide les nouveaux utilisateurs vers les 3 fonctionnalités clés de leur profil</w:t>
      </w:r>
    </w:p>
    <w:p>
      <w:pPr>
        <w:pStyle w:val="ListParagraph"/>
        <w:numPr>
          <w:ilvl w:val="0"/>
          <w:numId w:val="2"/>
        </w:numPr>
        <w:spacing w:before="40" w:after="40" w:line="300"/>
      </w:pPr>
      <w:r>
        <w:rPr>
          <w:rFonts w:ascii="Arial" w:cs="Arial" w:eastAsia="Arial" w:hAnsi="Arial"/>
          <w:color w:val="1A2418"/>
          <w:sz w:val="22"/>
          <w:szCs w:val="22"/>
        </w:rPr>
        <w:t xml:space="preserve">Score de complétude du profil — encouragement progressif (barre d'avancement 0→100%)</w:t>
      </w:r>
    </w:p>
    <w:p>
      <w:pPr>
        <w:pStyle w:val="ListParagraph"/>
        <w:numPr>
          <w:ilvl w:val="0"/>
          <w:numId w:val="2"/>
        </w:numPr>
        <w:spacing w:before="40" w:after="40" w:line="300"/>
      </w:pPr>
      <w:r>
        <w:rPr>
          <w:rFonts w:ascii="Arial" w:cs="Arial" w:eastAsia="Arial" w:hAnsi="Arial"/>
          <w:color w:val="1A2418"/>
          <w:sz w:val="22"/>
          <w:szCs w:val="22"/>
        </w:rPr>
        <w:t xml:space="preserve">Email de bienvenue personnalisé selon le profil avec 3 ressources immédiatement utiles</w:t>
      </w:r>
    </w:p>
    <w:p>
      <w:pPr>
        <w:pStyle w:val="ListParagraph"/>
        <w:numPr>
          <w:ilvl w:val="0"/>
          <w:numId w:val="2"/>
        </w:numPr>
        <w:spacing w:before="40" w:after="40" w:line="300"/>
      </w:pPr>
      <w:r>
        <w:rPr>
          <w:rFonts w:ascii="Arial" w:cs="Arial" w:eastAsia="Arial" w:hAnsi="Arial"/>
          <w:color w:val="1A2418"/>
          <w:sz w:val="22"/>
          <w:szCs w:val="22"/>
        </w:rPr>
        <w:t xml:space="preserve">Suggestions de connexions et de sessions coaching dès le premier login</w:t>
      </w:r>
    </w:p>
    <w:p>
      <w:pPr>
        <w:pStyle w:val="ListParagraph"/>
        <w:numPr>
          <w:ilvl w:val="0"/>
          <w:numId w:val="2"/>
        </w:numPr>
        <w:spacing w:before="40" w:after="40" w:line="300"/>
      </w:pPr>
      <w:r>
        <w:rPr>
          <w:rFonts w:ascii="Arial" w:cs="Arial" w:eastAsia="Arial" w:hAnsi="Arial"/>
          <w:color w:val="1A2418"/>
          <w:sz w:val="22"/>
          <w:szCs w:val="22"/>
        </w:rPr>
        <w:t xml:space="preserve">Vidéo de présentation GrowHubLink (2 min) accessible depuis le dashboard</w:t>
      </w:r>
    </w:p>
    <w:p>
      <w:r>
        <w:br w:type="page"/>
      </w:r>
    </w:p>
    <w:p>
      <w:pPr>
        <w:pStyle w:val="Heading1"/>
        <w:spacing w:before="400" w:after="160"/>
      </w:pPr>
      <w:r>
        <w:rPr>
          <w:rFonts w:ascii="Arial" w:cs="Arial" w:eastAsia="Arial" w:hAnsi="Arial"/>
          <w:b/>
          <w:bCs/>
          <w:color w:val="3A8A00"/>
          <w:sz w:val="40"/>
          <w:szCs w:val="40"/>
        </w:rPr>
        <w:t xml:space="preserve">7. Modèle économique</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7.1 Plans d'abonnement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1600"/>
        <w:gridCol w:w="3426"/>
      </w:tblGrid>
      <w:tr>
        <w:trPr>
          <w:tblHeader/>
        </w:trPr>
        <w:tc>
          <w:tcPr>
            <w:tcW w:type="dxa" w:w="1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Plan</w:t>
            </w:r>
          </w:p>
        </w:tc>
        <w:tc>
          <w:tcPr>
            <w:tcW w:type="dxa" w:w="15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Prix / mois (XOF)</w:t>
            </w:r>
          </w:p>
        </w:tc>
        <w:tc>
          <w:tcPr>
            <w:tcW w:type="dxa" w:w="13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Prix / mois (EUR)</w:t>
            </w:r>
          </w:p>
        </w:tc>
        <w:tc>
          <w:tcPr>
            <w:tcW w:type="dxa" w:w="16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Profils cibles</w:t>
            </w:r>
          </w:p>
        </w:tc>
        <w:tc>
          <w:tcPr>
            <w:tcW w:type="dxa" w:w="34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Fonctionnalités clés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Freemium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Gratuit</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Gratuit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Tous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Feed, networking limité (10 connexions), 1 session coaching/mois, events publics</w:t>
            </w:r>
          </w:p>
        </w:tc>
      </w:tr>
      <w:tr>
        <w:tc>
          <w:tcPr>
            <w:tcW w:type="dxa" w:w="1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Starter</w:t>
            </w:r>
          </w:p>
        </w:tc>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9 900 XOF</w:t>
            </w:r>
          </w:p>
        </w:tc>
        <w:tc>
          <w:tcPr>
            <w:tcW w:type="dxa" w:w="1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~15 €</w:t>
            </w:r>
          </w:p>
        </w:tc>
        <w:tc>
          <w:tcPr>
            <w:tcW w:type="dxa" w:w="1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Porteurs de projet, Étudiants</w:t>
            </w:r>
          </w:p>
        </w:tc>
        <w:tc>
          <w:tcPr>
            <w:tcW w:type="dxa" w:w="3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Networking illimité, 3 sessions/mois, marketplace read, événements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Pro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29 900 XOF</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~46 €</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Startups, Freelances, Mentors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Tout Starter + marketplace complète, analytics, coaching illimité, pitch deck builder, fundraising tracker</w:t>
            </w:r>
          </w:p>
        </w:tc>
      </w:tr>
      <w:tr>
        <w:tc>
          <w:tcPr>
            <w:tcW w:type="dxa" w:w="1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Business</w:t>
            </w:r>
          </w:p>
        </w:tc>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79 900 XOF</w:t>
            </w:r>
          </w:p>
        </w:tc>
        <w:tc>
          <w:tcPr>
            <w:tcW w:type="dxa" w:w="1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~122 €</w:t>
            </w:r>
          </w:p>
        </w:tc>
        <w:tc>
          <w:tcPr>
            <w:tcW w:type="dxa" w:w="16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Équipes, Incubateurs</w:t>
            </w:r>
          </w:p>
        </w:tc>
        <w:tc>
          <w:tcPr>
            <w:tcW w:type="dxa" w:w="3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Tout Pro + multi-utilisateurs (jusqu'à 10), white-label partiel, API access, rapports LPs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Sur devis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Sur devis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Grands comptes, institutions</w:t>
            </w:r>
          </w:p>
        </w:tc>
        <w:tc>
          <w:tcPr>
            <w:tcW w:type="dxa" w:w="3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SLA 99,9%, déploiement dédié, SSO, support prioritaire, custom integrations</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7.2 Sources de revenus additionnelles</w:t>
      </w:r>
    </w:p>
    <w:p>
      <w:pPr>
        <w:pStyle w:val="ListParagraph"/>
        <w:numPr>
          <w:ilvl w:val="0"/>
          <w:numId w:val="2"/>
        </w:numPr>
        <w:spacing w:before="40" w:after="40" w:line="300"/>
      </w:pPr>
      <w:r>
        <w:rPr>
          <w:rFonts w:ascii="Arial" w:cs="Arial" w:eastAsia="Arial" w:hAnsi="Arial"/>
          <w:color w:val="1A2418"/>
          <w:sz w:val="22"/>
          <w:szCs w:val="22"/>
        </w:rPr>
        <w:t xml:space="preserve">Marketplace experts — commission de 15% sur chaque session réservée via la plateforme (partagée entre GrowHubLink et le système de paiement)</w:t>
      </w:r>
    </w:p>
    <w:p>
      <w:pPr>
        <w:pStyle w:val="ListParagraph"/>
        <w:numPr>
          <w:ilvl w:val="0"/>
          <w:numId w:val="2"/>
        </w:numPr>
        <w:spacing w:before="40" w:after="40" w:line="300"/>
      </w:pPr>
      <w:r>
        <w:rPr>
          <w:rFonts w:ascii="Arial" w:cs="Arial" w:eastAsia="Arial" w:hAnsi="Arial"/>
          <w:color w:val="1A2418"/>
          <w:sz w:val="22"/>
          <w:szCs w:val="22"/>
        </w:rPr>
        <w:t xml:space="preserve">Événements premium — billetterie avec frais de service de 8% (prise en charge par l'organisateur)</w:t>
      </w:r>
    </w:p>
    <w:p>
      <w:pPr>
        <w:pStyle w:val="ListParagraph"/>
        <w:numPr>
          <w:ilvl w:val="0"/>
          <w:numId w:val="2"/>
        </w:numPr>
        <w:spacing w:before="40" w:after="40" w:line="300"/>
      </w:pPr>
      <w:r>
        <w:rPr>
          <w:rFonts w:ascii="Arial" w:cs="Arial" w:eastAsia="Arial" w:hAnsi="Arial"/>
          <w:color w:val="1A2418"/>
          <w:sz w:val="22"/>
          <w:szCs w:val="22"/>
        </w:rPr>
        <w:t xml:space="preserve">Mise en avant de profils — placement prioritaire dans les suggestions networking (abonnement mensuel experts)</w:t>
      </w:r>
    </w:p>
    <w:p>
      <w:pPr>
        <w:pStyle w:val="ListParagraph"/>
        <w:numPr>
          <w:ilvl w:val="0"/>
          <w:numId w:val="2"/>
        </w:numPr>
        <w:spacing w:before="40" w:after="40" w:line="300"/>
      </w:pPr>
      <w:r>
        <w:rPr>
          <w:rFonts w:ascii="Arial" w:cs="Arial" w:eastAsia="Arial" w:hAnsi="Arial"/>
          <w:color w:val="1A2418"/>
          <w:sz w:val="22"/>
          <w:szCs w:val="22"/>
        </w:rPr>
        <w:t xml:space="preserve">Données et rapports de marché — insights anonymisés sur l'écosystème vendus aux institutions (gouvernements, bailleurs, fonds)</w:t>
      </w:r>
    </w:p>
    <w:p>
      <w:pPr>
        <w:pStyle w:val="ListParagraph"/>
        <w:numPr>
          <w:ilvl w:val="0"/>
          <w:numId w:val="2"/>
        </w:numPr>
        <w:spacing w:before="40" w:after="40" w:line="300"/>
      </w:pPr>
      <w:r>
        <w:rPr>
          <w:rFonts w:ascii="Arial" w:cs="Arial" w:eastAsia="Arial" w:hAnsi="Arial"/>
          <w:color w:val="1A2418"/>
          <w:sz w:val="22"/>
          <w:szCs w:val="22"/>
        </w:rPr>
        <w:t xml:space="preserve">Formation certifiante — programmes intensifs avec certification GrowHubLink (hors abonnement)</w:t>
      </w:r>
    </w:p>
    <w:p>
      <w:pPr>
        <w:pStyle w:val="ListParagraph"/>
        <w:numPr>
          <w:ilvl w:val="0"/>
          <w:numId w:val="2"/>
        </w:numPr>
        <w:spacing w:before="40" w:after="40" w:line="300"/>
      </w:pPr>
      <w:r>
        <w:rPr>
          <w:rFonts w:ascii="Arial" w:cs="Arial" w:eastAsia="Arial" w:hAnsi="Arial"/>
          <w:color w:val="1A2418"/>
          <w:sz w:val="22"/>
          <w:szCs w:val="22"/>
        </w:rPr>
        <w:t xml:space="preserve">Licences institutionnelles — incubateurs et accélérateurs avec tarification par cohorte</w:t>
      </w:r>
    </w:p>
    <w:p>
      <w:pPr>
        <w:spacing w:before="0" w:after="0"/>
      </w:pPr>
      <w:r>
        <w:t xml:space="preserve"/>
      </w:r>
    </w:p>
    <w:p>
      <w:pPr>
        <w:pStyle w:val="Heading2"/>
        <w:spacing w:before="300" w:after="120"/>
      </w:pPr>
      <w:r>
        <w:rPr>
          <w:rFonts w:ascii="Arial" w:cs="Arial" w:eastAsia="Arial" w:hAnsi="Arial"/>
          <w:b/>
          <w:bCs/>
          <w:color w:val="1A2418"/>
          <w:sz w:val="30"/>
          <w:szCs w:val="30"/>
        </w:rPr>
        <w:t xml:space="preserve">7.3 Projections financières indicatives (Année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42"/>
        <w:gridCol w:w="1942"/>
        <w:gridCol w:w="1942"/>
      </w:tblGrid>
      <w:tr>
        <w:trPr>
          <w:tblHeader/>
        </w:trPr>
        <w:tc>
          <w:tcPr>
            <w:tcW w:type="dxa" w:w="3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Indicateur</w:t>
            </w:r>
          </w:p>
        </w:tc>
        <w:tc>
          <w:tcPr>
            <w:tcW w:type="dxa" w:w="1942"/>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Mois 3</w:t>
            </w:r>
          </w:p>
        </w:tc>
        <w:tc>
          <w:tcPr>
            <w:tcW w:type="dxa" w:w="1942"/>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Mois 6</w:t>
            </w:r>
          </w:p>
        </w:tc>
        <w:tc>
          <w:tcPr>
            <w:tcW w:type="dxa" w:w="1942"/>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Mois 12</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Utilisateurs inscrits</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500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2 000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8 000</w:t>
            </w:r>
          </w:p>
        </w:tc>
      </w:tr>
      <w:tr>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Utilisateurs actifs mensuels (MAU)</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200</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800</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3 500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Taux de conversion freemium → payant</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5%</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8%</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12%</w:t>
            </w:r>
          </w:p>
        </w:tc>
      </w:tr>
      <w:tr>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Abonnés payants estimés</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25</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160</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960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MRR abonnements (XOF)</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747 500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4 784 000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28 704 000</w:t>
            </w:r>
          </w:p>
        </w:tc>
      </w:tr>
      <w:tr>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MRR marketplace (XOF)</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150 000</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950 000</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5 700 000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MRR total (XOF)</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897 500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5 734 000</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34 404 000</w:t>
            </w:r>
          </w:p>
        </w:tc>
      </w:tr>
      <w:tr>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ARR projeté fin Année 1 (XOF)</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w:t>
            </w:r>
          </w:p>
        </w:tc>
        <w:tc>
          <w:tcPr>
            <w:tcW w:type="dxa" w:w="1942"/>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412 848 000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Churn mensuel cible</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5%</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3%</w:t>
            </w:r>
          </w:p>
        </w:tc>
        <w:tc>
          <w:tcPr>
            <w:tcW w:type="dxa" w:w="1942"/>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&lt; 2%</w:t>
            </w:r>
          </w:p>
        </w:tc>
      </w:tr>
    </w:tbl>
    <w:p>
      <w:r>
        <w:br w:type="page"/>
      </w:r>
    </w:p>
    <w:p>
      <w:pPr>
        <w:pStyle w:val="Heading1"/>
        <w:spacing w:before="400" w:after="160"/>
      </w:pPr>
      <w:r>
        <w:rPr>
          <w:rFonts w:ascii="Arial" w:cs="Arial" w:eastAsia="Arial" w:hAnsi="Arial"/>
          <w:b/>
          <w:bCs/>
          <w:color w:val="3A8A00"/>
          <w:sz w:val="40"/>
          <w:szCs w:val="40"/>
        </w:rPr>
        <w:t xml:space="preserve">8. Exigences non-fonctionnelles</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8.1 Conformité réglementaire</w:t>
      </w:r>
    </w:p>
    <w:p>
      <w:pPr>
        <w:pStyle w:val="ListParagraph"/>
        <w:numPr>
          <w:ilvl w:val="0"/>
          <w:numId w:val="2"/>
        </w:numPr>
        <w:spacing w:before="40" w:after="40" w:line="300"/>
      </w:pPr>
      <w:r>
        <w:rPr>
          <w:rFonts w:ascii="Arial" w:cs="Arial" w:eastAsia="Arial" w:hAnsi="Arial"/>
          <w:color w:val="1A2418"/>
          <w:sz w:val="22"/>
          <w:szCs w:val="22"/>
        </w:rPr>
        <w:t xml:space="preserve">RGPD (Règlement UE 2016/679) — applicable dès qu'un utilisateur est dans l'Union Européenne</w:t>
      </w:r>
    </w:p>
    <w:p>
      <w:pPr>
        <w:pStyle w:val="ListParagraph"/>
        <w:numPr>
          <w:ilvl w:val="0"/>
          <w:numId w:val="2"/>
        </w:numPr>
        <w:spacing w:before="40" w:after="40" w:line="300"/>
      </w:pPr>
      <w:r>
        <w:rPr>
          <w:rFonts w:ascii="Arial" w:cs="Arial" w:eastAsia="Arial" w:hAnsi="Arial"/>
          <w:color w:val="1A2418"/>
          <w:sz w:val="22"/>
          <w:szCs w:val="22"/>
        </w:rPr>
        <w:t xml:space="preserve">Loi informatique et libertés (France) — complémentaire au RGPD</w:t>
      </w:r>
    </w:p>
    <w:p>
      <w:pPr>
        <w:pStyle w:val="ListParagraph"/>
        <w:numPr>
          <w:ilvl w:val="0"/>
          <w:numId w:val="2"/>
        </w:numPr>
        <w:spacing w:before="40" w:after="40" w:line="300"/>
      </w:pPr>
      <w:r>
        <w:rPr>
          <w:rFonts w:ascii="Arial" w:cs="Arial" w:eastAsia="Arial" w:hAnsi="Arial"/>
          <w:color w:val="1A2418"/>
          <w:sz w:val="22"/>
          <w:szCs w:val="22"/>
        </w:rPr>
        <w:t xml:space="preserve">Réglementation UEMOA sur la protection des données personnelles (applicable dans les 8 États membres)</w:t>
      </w:r>
    </w:p>
    <w:p>
      <w:pPr>
        <w:pStyle w:val="ListParagraph"/>
        <w:numPr>
          <w:ilvl w:val="0"/>
          <w:numId w:val="2"/>
        </w:numPr>
        <w:spacing w:before="40" w:after="40" w:line="300"/>
      </w:pPr>
      <w:r>
        <w:rPr>
          <w:rFonts w:ascii="Arial" w:cs="Arial" w:eastAsia="Arial" w:hAnsi="Arial"/>
          <w:color w:val="1A2418"/>
          <w:sz w:val="22"/>
          <w:szCs w:val="22"/>
        </w:rPr>
        <w:t xml:space="preserve">Conditions d'utilisation et politique de confidentialité — rédigées par un avocat spécialisé, validées par le DPO</w:t>
      </w:r>
    </w:p>
    <w:p>
      <w:pPr>
        <w:pStyle w:val="ListParagraph"/>
        <w:numPr>
          <w:ilvl w:val="0"/>
          <w:numId w:val="2"/>
        </w:numPr>
        <w:spacing w:before="40" w:after="40" w:line="300"/>
      </w:pPr>
      <w:r>
        <w:rPr>
          <w:rFonts w:ascii="Arial" w:cs="Arial" w:eastAsia="Arial" w:hAnsi="Arial"/>
          <w:color w:val="1A2418"/>
          <w:sz w:val="22"/>
          <w:szCs w:val="22"/>
        </w:rPr>
        <w:t xml:space="preserve">Registre des traitements obligatoire — tenu à jour et disponible pour les autorités de contrôle</w:t>
      </w:r>
    </w:p>
    <w:p>
      <w:pPr>
        <w:pStyle w:val="ListParagraph"/>
        <w:numPr>
          <w:ilvl w:val="0"/>
          <w:numId w:val="2"/>
        </w:numPr>
        <w:spacing w:before="40" w:after="40" w:line="300"/>
      </w:pPr>
      <w:r>
        <w:rPr>
          <w:rFonts w:ascii="Arial" w:cs="Arial" w:eastAsia="Arial" w:hAnsi="Arial"/>
          <w:color w:val="1A2418"/>
          <w:sz w:val="22"/>
          <w:szCs w:val="22"/>
        </w:rPr>
        <w:t xml:space="preserve">Data Processing Agreements (DPA) — signés avec chaque sous-traitant (AWS, Stripe, Brevo...)</w:t>
      </w:r>
    </w:p>
    <w:p>
      <w:pPr>
        <w:pStyle w:val="ListParagraph"/>
        <w:numPr>
          <w:ilvl w:val="0"/>
          <w:numId w:val="2"/>
        </w:numPr>
        <w:spacing w:before="40" w:after="40" w:line="300"/>
      </w:pPr>
      <w:r>
        <w:rPr>
          <w:rFonts w:ascii="Arial" w:cs="Arial" w:eastAsia="Arial" w:hAnsi="Arial"/>
          <w:color w:val="1A2418"/>
          <w:sz w:val="22"/>
          <w:szCs w:val="22"/>
        </w:rPr>
        <w:t xml:space="preserve">Droit à l'oubli — suppression complète et irréversible des données sur demande sous 30 jours calendaires</w:t>
      </w:r>
    </w:p>
    <w:p>
      <w:pPr>
        <w:pStyle w:val="ListParagraph"/>
        <w:numPr>
          <w:ilvl w:val="0"/>
          <w:numId w:val="2"/>
        </w:numPr>
        <w:spacing w:before="40" w:after="40" w:line="300"/>
      </w:pPr>
      <w:r>
        <w:rPr>
          <w:rFonts w:ascii="Arial" w:cs="Arial" w:eastAsia="Arial" w:hAnsi="Arial"/>
          <w:color w:val="1A2418"/>
          <w:sz w:val="22"/>
          <w:szCs w:val="22"/>
        </w:rPr>
        <w:t xml:space="preserve">Portabilité des données — export au format structuré (JSON + CSV) sur demande sous 72 heures</w:t>
      </w:r>
    </w:p>
    <w:p>
      <w:pPr>
        <w:spacing w:before="0" w:after="0"/>
      </w:pPr>
      <w:r>
        <w:t xml:space="preserve"/>
      </w:r>
    </w:p>
    <w:p>
      <w:pPr>
        <w:pStyle w:val="Heading2"/>
        <w:spacing w:before="300" w:after="120"/>
      </w:pPr>
      <w:r>
        <w:rPr>
          <w:rFonts w:ascii="Arial" w:cs="Arial" w:eastAsia="Arial" w:hAnsi="Arial"/>
          <w:b/>
          <w:bCs/>
          <w:color w:val="1A2418"/>
          <w:sz w:val="30"/>
          <w:szCs w:val="30"/>
        </w:rPr>
        <w:t xml:space="preserve">8.2 Internationalisation (i18n) et localisation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800"/>
        <w:gridCol w:w="3526"/>
      </w:tblGrid>
      <w:tr>
        <w:trPr>
          <w:tblHeader/>
        </w:trPr>
        <w:tc>
          <w:tcPr>
            <w:tcW w:type="dxa" w:w="9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Langue(s)</w:t>
            </w:r>
          </w:p>
        </w:tc>
        <w:tc>
          <w:tcPr>
            <w:tcW w:type="dxa" w:w="28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Pays cibles</w:t>
            </w:r>
          </w:p>
        </w:tc>
        <w:tc>
          <w:tcPr>
            <w:tcW w:type="dxa" w:w="35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Spécificités</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Français (fr-FR)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Sénégal, CI, Mali, France, Guinée, Burkina</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Devise XOF par défaut, formats dates DD/MM/YYYY</w:t>
            </w:r>
          </w:p>
        </w:tc>
      </w:tr>
      <w:tr>
        <w:tc>
          <w:tcPr>
            <w:tcW w:type="dxa" w:w="9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Phase 2</w:t>
            </w:r>
          </w:p>
        </w:tc>
        <w:tc>
          <w:tcPr>
            <w:tcW w:type="dxa" w:w="1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Anglais (en-US, en-GB)</w:t>
            </w:r>
          </w:p>
        </w:tc>
        <w:tc>
          <w:tcPr>
            <w:tcW w:type="dxa" w:w="28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Nigeria, Ghana, UK, Canada, USA</w:t>
            </w:r>
          </w:p>
        </w:tc>
        <w:tc>
          <w:tcPr>
            <w:tcW w:type="dxa" w:w="3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Devise USD/GBP, formats dates MM/DD/YYYY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Arabe (ar-MA, ar-SN)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Maroc, Tunisie, Mauritanie</w:t>
            </w:r>
          </w:p>
        </w:tc>
        <w:tc>
          <w:tcPr>
            <w:tcW w:type="dxa" w:w="3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Support RTL complet, formats arabes, devise MAD</w:t>
            </w:r>
          </w:p>
        </w:tc>
      </w:tr>
    </w:tbl>
    <w:p>
      <w:pPr>
        <w:spacing w:before="0" w:after="0"/>
      </w:pPr>
      <w:r>
        <w:t xml:space="preserve"/>
      </w:r>
    </w:p>
    <w:p>
      <w:pPr>
        <w:pStyle w:val="ListParagraph"/>
        <w:numPr>
          <w:ilvl w:val="0"/>
          <w:numId w:val="2"/>
        </w:numPr>
        <w:spacing w:before="40" w:after="40" w:line="300"/>
      </w:pPr>
      <w:r>
        <w:rPr>
          <w:rFonts w:ascii="Arial" w:cs="Arial" w:eastAsia="Arial" w:hAnsi="Arial"/>
          <w:color w:val="1A2418"/>
          <w:sz w:val="22"/>
          <w:szCs w:val="22"/>
        </w:rPr>
        <w:t xml:space="preserve">Architecture i18n dès Phase 1 — fichiers de traduction JSON (i18next), jamais de texte codé en dur</w:t>
      </w:r>
    </w:p>
    <w:p>
      <w:pPr>
        <w:pStyle w:val="ListParagraph"/>
        <w:numPr>
          <w:ilvl w:val="0"/>
          <w:numId w:val="2"/>
        </w:numPr>
        <w:spacing w:before="40" w:after="40" w:line="300"/>
      </w:pPr>
      <w:r>
        <w:rPr>
          <w:rFonts w:ascii="Arial" w:cs="Arial" w:eastAsia="Arial" w:hAnsi="Arial"/>
          <w:color w:val="1A2418"/>
          <w:sz w:val="22"/>
          <w:szCs w:val="22"/>
        </w:rPr>
        <w:t xml:space="preserve">Formats de nombres et devises localisés selon la locale — utilisation de l'API Intl.NumberFormat</w:t>
      </w:r>
    </w:p>
    <w:p>
      <w:pPr>
        <w:pStyle w:val="ListParagraph"/>
        <w:numPr>
          <w:ilvl w:val="0"/>
          <w:numId w:val="2"/>
        </w:numPr>
        <w:spacing w:before="40" w:after="40" w:line="300"/>
      </w:pPr>
      <w:r>
        <w:rPr>
          <w:rFonts w:ascii="Arial" w:cs="Arial" w:eastAsia="Arial" w:hAnsi="Arial"/>
          <w:color w:val="1A2418"/>
          <w:sz w:val="22"/>
          <w:szCs w:val="22"/>
        </w:rPr>
        <w:t xml:space="preserve">Formats de dates adaptés à la locale — Intl.DateTimeFormat</w:t>
      </w:r>
    </w:p>
    <w:p>
      <w:pPr>
        <w:spacing w:before="0" w:after="0"/>
      </w:pPr>
      <w:r>
        <w:t xml:space="preserve"/>
      </w:r>
    </w:p>
    <w:p>
      <w:pPr>
        <w:pStyle w:val="Heading2"/>
        <w:spacing w:before="300" w:after="120"/>
      </w:pPr>
      <w:r>
        <w:rPr>
          <w:rFonts w:ascii="Arial" w:cs="Arial" w:eastAsia="Arial" w:hAnsi="Arial"/>
          <w:b/>
          <w:bCs/>
          <w:color w:val="1A2418"/>
          <w:sz w:val="30"/>
          <w:szCs w:val="30"/>
        </w:rPr>
        <w:t xml:space="preserve">8.3 Tests et assurance qualité</w:t>
      </w:r>
    </w:p>
    <w:p>
      <w:pPr>
        <w:pStyle w:val="ListParagraph"/>
        <w:numPr>
          <w:ilvl w:val="0"/>
          <w:numId w:val="2"/>
        </w:numPr>
        <w:spacing w:before="40" w:after="40" w:line="300"/>
      </w:pPr>
      <w:r>
        <w:rPr>
          <w:rFonts w:ascii="Arial" w:cs="Arial" w:eastAsia="Arial" w:hAnsi="Arial"/>
          <w:color w:val="1A2418"/>
          <w:sz w:val="22"/>
          <w:szCs w:val="22"/>
        </w:rPr>
        <w:t xml:space="preserve">Tests unitaires — couverture minimale de 80% du code métier (Vitest + Jest)</w:t>
      </w:r>
    </w:p>
    <w:p>
      <w:pPr>
        <w:pStyle w:val="ListParagraph"/>
        <w:numPr>
          <w:ilvl w:val="0"/>
          <w:numId w:val="2"/>
        </w:numPr>
        <w:spacing w:before="40" w:after="40" w:line="300"/>
      </w:pPr>
      <w:r>
        <w:rPr>
          <w:rFonts w:ascii="Arial" w:cs="Arial" w:eastAsia="Arial" w:hAnsi="Arial"/>
          <w:color w:val="1A2418"/>
          <w:sz w:val="22"/>
          <w:szCs w:val="22"/>
        </w:rPr>
        <w:t xml:space="preserve">Tests d'intégration — parcours utilisateurs critiques : inscription, réservation session, publication post, payment</w:t>
      </w:r>
    </w:p>
    <w:p>
      <w:pPr>
        <w:pStyle w:val="ListParagraph"/>
        <w:numPr>
          <w:ilvl w:val="0"/>
          <w:numId w:val="2"/>
        </w:numPr>
        <w:spacing w:before="40" w:after="40" w:line="300"/>
      </w:pPr>
      <w:r>
        <w:rPr>
          <w:rFonts w:ascii="Arial" w:cs="Arial" w:eastAsia="Arial" w:hAnsi="Arial"/>
          <w:color w:val="1A2418"/>
          <w:sz w:val="22"/>
          <w:szCs w:val="22"/>
        </w:rPr>
        <w:t xml:space="preserve">Tests End-to-End (E2E) — Playwright sur les 5 flows principaux par profil</w:t>
      </w:r>
    </w:p>
    <w:p>
      <w:pPr>
        <w:pStyle w:val="ListParagraph"/>
        <w:numPr>
          <w:ilvl w:val="0"/>
          <w:numId w:val="2"/>
        </w:numPr>
        <w:spacing w:before="40" w:after="40" w:line="300"/>
      </w:pPr>
      <w:r>
        <w:rPr>
          <w:rFonts w:ascii="Arial" w:cs="Arial" w:eastAsia="Arial" w:hAnsi="Arial"/>
          <w:color w:val="1A2418"/>
          <w:sz w:val="22"/>
          <w:szCs w:val="22"/>
        </w:rPr>
        <w:t xml:space="preserve">Tests de charge — k6 pour simuler 1 000 utilisateurs simultanés sans dégradation</w:t>
      </w:r>
    </w:p>
    <w:p>
      <w:pPr>
        <w:pStyle w:val="ListParagraph"/>
        <w:numPr>
          <w:ilvl w:val="0"/>
          <w:numId w:val="2"/>
        </w:numPr>
        <w:spacing w:before="40" w:after="40" w:line="300"/>
      </w:pPr>
      <w:r>
        <w:rPr>
          <w:rFonts w:ascii="Arial" w:cs="Arial" w:eastAsia="Arial" w:hAnsi="Arial"/>
          <w:color w:val="1A2418"/>
          <w:sz w:val="22"/>
          <w:szCs w:val="22"/>
        </w:rPr>
        <w:t xml:space="preserve">Tests de régression visuels — Chromatic ou Percy pour détecter les régressions CSS</w:t>
      </w:r>
    </w:p>
    <w:p>
      <w:pPr>
        <w:pStyle w:val="ListParagraph"/>
        <w:numPr>
          <w:ilvl w:val="0"/>
          <w:numId w:val="2"/>
        </w:numPr>
        <w:spacing w:before="40" w:after="40" w:line="300"/>
      </w:pPr>
      <w:r>
        <w:rPr>
          <w:rFonts w:ascii="Arial" w:cs="Arial" w:eastAsia="Arial" w:hAnsi="Arial"/>
          <w:color w:val="1A2418"/>
          <w:sz w:val="22"/>
          <w:szCs w:val="22"/>
        </w:rPr>
        <w:t xml:space="preserve">Revue de code obligatoire — Pull Requests avec au minimum 1 reviewer tech, 1 reviewer produit</w:t>
      </w:r>
    </w:p>
    <w:p>
      <w:pPr>
        <w:pStyle w:val="ListParagraph"/>
        <w:numPr>
          <w:ilvl w:val="0"/>
          <w:numId w:val="2"/>
        </w:numPr>
        <w:spacing w:before="40" w:after="40" w:line="300"/>
      </w:pPr>
      <w:r>
        <w:rPr>
          <w:rFonts w:ascii="Arial" w:cs="Arial" w:eastAsia="Arial" w:hAnsi="Arial"/>
          <w:color w:val="1A2418"/>
          <w:sz w:val="22"/>
          <w:szCs w:val="22"/>
        </w:rPr>
        <w:t xml:space="preserve">Audit de sécurité externe — avant mise en production initiale puis annuellement</w:t>
      </w:r>
    </w:p>
    <w:p>
      <w:pPr>
        <w:pStyle w:val="ListParagraph"/>
        <w:numPr>
          <w:ilvl w:val="0"/>
          <w:numId w:val="2"/>
        </w:numPr>
        <w:spacing w:before="40" w:after="40" w:line="300"/>
      </w:pPr>
      <w:r>
        <w:rPr>
          <w:rFonts w:ascii="Arial" w:cs="Arial" w:eastAsia="Arial" w:hAnsi="Arial"/>
          <w:color w:val="1A2418"/>
          <w:sz w:val="22"/>
          <w:szCs w:val="22"/>
        </w:rPr>
        <w:t xml:space="preserve">Accessibilité — audit Axe ou Lighthouse Accessibility sur toutes les pages clés</w:t>
      </w:r>
    </w:p>
    <w:p>
      <w:r>
        <w:br w:type="page"/>
      </w:r>
    </w:p>
    <w:p>
      <w:pPr>
        <w:pStyle w:val="Heading1"/>
        <w:spacing w:before="400" w:after="160"/>
      </w:pPr>
      <w:r>
        <w:rPr>
          <w:rFonts w:ascii="Arial" w:cs="Arial" w:eastAsia="Arial" w:hAnsi="Arial"/>
          <w:b/>
          <w:bCs/>
          <w:color w:val="3A8A00"/>
          <w:sz w:val="40"/>
          <w:szCs w:val="40"/>
        </w:rPr>
        <w:t xml:space="preserve">9. Plan de déploiement et jalons</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9.1 Roadmap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00"/>
        <w:gridCol w:w="3226"/>
      </w:tblGrid>
      <w:tr>
        <w:trPr>
          <w:tblHeader/>
        </w:trPr>
        <w:tc>
          <w:tcPr>
            <w:tcW w:type="dxa" w:w="15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1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Durée</w:t>
            </w:r>
          </w:p>
        </w:tc>
        <w:tc>
          <w:tcPr>
            <w:tcW w:type="dxa" w:w="3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Périmètre fonctionnel</w:t>
            </w:r>
          </w:p>
        </w:tc>
        <w:tc>
          <w:tcPr>
            <w:tcW w:type="dxa" w:w="32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Critère de succès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Phase 0 — Fondations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4 semaines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Infrastructure, CI/CD, design system, authentification, base de données, API skeleton</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Environnements opérationnels, pipeline CI &lt; 3 min</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Phase 1 — MVP</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8 semaines</w:t>
            </w:r>
          </w:p>
        </w:tc>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Feed communautaire, Networking, Profils Startup + Mentor, Coaching, Messagerie, Calendrier</w:t>
            </w:r>
          </w:p>
        </w:tc>
        <w:tc>
          <w:tcPr>
            <w:tcW w:type="dxa" w:w="3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Bêta privée — 50 utilisateurs invités, NPS &gt; 40</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Phase 2 — Extension profils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6 semaines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Profils Investisseur, Freelance, Incubateur, Marketplace experts, Événements, Notifications complètes</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Bêta publique — 500 utilisateurs, 3 experts marketplace</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Phase 3 — Complétude</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6 semaines</w:t>
            </w:r>
          </w:p>
        </w:tc>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Profils Étudiant + Aspirationnel, Analytics avancés, Paiements (Stripe + Wave), Système de devise</w:t>
            </w:r>
          </w:p>
        </w:tc>
        <w:tc>
          <w:tcPr>
            <w:tcW w:type="dxa" w:w="3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Lancement officiel — Profils complets, paiements actifs</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Phase 4 — Mobile</w:t>
            </w:r>
          </w:p>
        </w:tc>
        <w:tc>
          <w:tcPr>
            <w:tcW w:type="dxa" w:w="11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8 semaines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Application React Native iOS + Android — parité fonctionnelle avec le web</w:t>
            </w:r>
          </w:p>
        </w:tc>
        <w:tc>
          <w:tcPr>
            <w:tcW w:type="dxa" w:w="32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Publication App Store + Google Play, rating &gt; 4,2</w:t>
            </w:r>
          </w:p>
        </w:tc>
      </w:tr>
      <w:tr>
        <w:tc>
          <w:tcPr>
            <w:tcW w:type="dxa" w:w="15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Phase 5 — Scale &amp; i18n</w:t>
            </w:r>
          </w:p>
        </w:tc>
        <w:tc>
          <w:tcPr>
            <w:tcW w:type="dxa" w:w="11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Continu</w:t>
            </w:r>
          </w:p>
        </w:tc>
        <w:tc>
          <w:tcPr>
            <w:tcW w:type="dxa" w:w="3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Internationalisation (EN + AR), nouvelles fonctionnalités, optimisation, partenariats institutionnels</w:t>
            </w:r>
          </w:p>
        </w:tc>
        <w:tc>
          <w:tcPr>
            <w:tcW w:type="dxa" w:w="32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MAU 3 500+, MRR 30M+ XOF</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9.2 Organisation de l'équipe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Rôle</w:t>
            </w:r>
          </w:p>
        </w:tc>
        <w:tc>
          <w:tcPr>
            <w:tcW w:type="dxa" w:w="43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Responsabilités</w:t>
            </w:r>
          </w:p>
        </w:tc>
        <w:tc>
          <w:tcPr>
            <w:tcW w:type="dxa" w:w="25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Temps plein ?</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Product Owner</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Vision produit, priorisation backlog, validation des livrables, interface client</w:t>
            </w:r>
          </w:p>
        </w:tc>
        <w:tc>
          <w:tcPr>
            <w:tcW w:type="dxa" w:w="2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Lead Developer Backend</w:t>
            </w:r>
          </w:p>
        </w:tc>
        <w:tc>
          <w:tcPr>
            <w:tcW w:type="dxa" w:w="4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Architecture API NestJS, base de données, intégrations paiement, sécurité</w:t>
            </w:r>
          </w:p>
        </w:tc>
        <w:tc>
          <w:tcPr>
            <w:tcW w:type="dxa" w:w="2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Lead Developer Frontend</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Architecture React, Design System, performance, accessibilité</w:t>
            </w:r>
          </w:p>
        </w:tc>
        <w:tc>
          <w:tcPr>
            <w:tcW w:type="dxa" w:w="2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Développeur Fullstack</w:t>
            </w:r>
          </w:p>
        </w:tc>
        <w:tc>
          <w:tcPr>
            <w:tcW w:type="dxa" w:w="4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Features cross-stack, tests, bugfix, code review</w:t>
            </w:r>
          </w:p>
        </w:tc>
        <w:tc>
          <w:tcPr>
            <w:tcW w:type="dxa" w:w="2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UX/UI Designer</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Maquettes Figma, Design System, tests utilisateurs, prototypes interactifs</w:t>
            </w:r>
          </w:p>
        </w:tc>
        <w:tc>
          <w:tcPr>
            <w:tcW w:type="dxa" w:w="2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Chef de projet / Scrum Master</w:t>
            </w:r>
          </w:p>
        </w:tc>
        <w:tc>
          <w:tcPr>
            <w:tcW w:type="dxa" w:w="4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Planning sprints, stand-up, blocage removal, reporting</w:t>
            </w:r>
          </w:p>
        </w:tc>
        <w:tc>
          <w:tcPr>
            <w:tcW w:type="dxa" w:w="2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Oui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DevOps / SRE</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Infrastructure AWS, CI/CD, monitoring, sécurité infra</w:t>
            </w:r>
          </w:p>
        </w:tc>
        <w:tc>
          <w:tcPr>
            <w:tcW w:type="dxa" w:w="2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Mi-temps</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Responsable QA</w:t>
            </w:r>
          </w:p>
        </w:tc>
        <w:tc>
          <w:tcPr>
            <w:tcW w:type="dxa" w:w="43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Plans de test, E2E, régressions, validation produit</w:t>
            </w:r>
          </w:p>
        </w:tc>
        <w:tc>
          <w:tcPr>
            <w:tcW w:type="dxa" w:w="25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Mi-temps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Responsable Légal / DPO</w:t>
            </w:r>
          </w:p>
        </w:tc>
        <w:tc>
          <w:tcPr>
            <w:tcW w:type="dxa" w:w="4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RGPD, CGU, contrats, conformité réglementaire</w:t>
            </w:r>
          </w:p>
        </w:tc>
        <w:tc>
          <w:tcPr>
            <w:tcW w:type="dxa" w:w="25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Consultant</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9.3 Gestion de projet</w:t>
      </w:r>
    </w:p>
    <w:p>
      <w:pPr>
        <w:pStyle w:val="ListParagraph"/>
        <w:numPr>
          <w:ilvl w:val="0"/>
          <w:numId w:val="2"/>
        </w:numPr>
        <w:spacing w:before="40" w:after="40" w:line="300"/>
      </w:pPr>
      <w:r>
        <w:rPr>
          <w:rFonts w:ascii="Arial" w:cs="Arial" w:eastAsia="Arial" w:hAnsi="Arial"/>
          <w:color w:val="1A2418"/>
          <w:sz w:val="22"/>
          <w:szCs w:val="22"/>
        </w:rPr>
        <w:t xml:space="preserve">Méthodologie Agile Scrum — sprints de 2 semaines avec démo et rétrospective</w:t>
      </w:r>
    </w:p>
    <w:p>
      <w:pPr>
        <w:pStyle w:val="ListParagraph"/>
        <w:numPr>
          <w:ilvl w:val="0"/>
          <w:numId w:val="2"/>
        </w:numPr>
        <w:spacing w:before="40" w:after="40" w:line="300"/>
      </w:pPr>
      <w:r>
        <w:rPr>
          <w:rFonts w:ascii="Arial" w:cs="Arial" w:eastAsia="Arial" w:hAnsi="Arial"/>
          <w:color w:val="1A2418"/>
          <w:sz w:val="22"/>
          <w:szCs w:val="22"/>
        </w:rPr>
        <w:t xml:space="preserve">Backlog priorisé selon la matrice Impact/Effort — story points Fibonacci</w:t>
      </w:r>
    </w:p>
    <w:p>
      <w:pPr>
        <w:pStyle w:val="ListParagraph"/>
        <w:numPr>
          <w:ilvl w:val="0"/>
          <w:numId w:val="2"/>
        </w:numPr>
        <w:spacing w:before="40" w:after="40" w:line="300"/>
      </w:pPr>
      <w:r>
        <w:rPr>
          <w:rFonts w:ascii="Arial" w:cs="Arial" w:eastAsia="Arial" w:hAnsi="Arial"/>
          <w:color w:val="1A2418"/>
          <w:sz w:val="22"/>
          <w:szCs w:val="22"/>
        </w:rPr>
        <w:t xml:space="preserve">Critères d'acceptation (Definition of Done) — tests passants, revue code, accessibilité validée, doc à jour</w:t>
      </w:r>
    </w:p>
    <w:p>
      <w:pPr>
        <w:pStyle w:val="ListParagraph"/>
        <w:numPr>
          <w:ilvl w:val="0"/>
          <w:numId w:val="2"/>
        </w:numPr>
        <w:spacing w:before="40" w:after="40" w:line="300"/>
      </w:pPr>
      <w:r>
        <w:rPr>
          <w:rFonts w:ascii="Arial" w:cs="Arial" w:eastAsia="Arial" w:hAnsi="Arial"/>
          <w:color w:val="1A2418"/>
          <w:sz w:val="22"/>
          <w:szCs w:val="22"/>
        </w:rPr>
        <w:t xml:space="preserve">Outil de gestion — Linear ou Jira pour le backlog, Figma pour les designs, Notion pour la documentation</w:t>
      </w:r>
    </w:p>
    <w:p>
      <w:pPr>
        <w:pStyle w:val="ListParagraph"/>
        <w:numPr>
          <w:ilvl w:val="0"/>
          <w:numId w:val="2"/>
        </w:numPr>
        <w:spacing w:before="40" w:after="40" w:line="300"/>
      </w:pPr>
      <w:r>
        <w:rPr>
          <w:rFonts w:ascii="Arial" w:cs="Arial" w:eastAsia="Arial" w:hAnsi="Arial"/>
          <w:color w:val="1A2418"/>
          <w:sz w:val="22"/>
          <w:szCs w:val="22"/>
        </w:rPr>
        <w:t xml:space="preserve">Communication — daily stand-up 15 min, weekly review avec les stakeholders</w:t>
      </w:r>
    </w:p>
    <w:p>
      <w:pPr>
        <w:pStyle w:val="ListParagraph"/>
        <w:numPr>
          <w:ilvl w:val="0"/>
          <w:numId w:val="2"/>
        </w:numPr>
        <w:spacing w:before="40" w:after="40" w:line="300"/>
      </w:pPr>
      <w:r>
        <w:rPr>
          <w:rFonts w:ascii="Arial" w:cs="Arial" w:eastAsia="Arial" w:hAnsi="Arial"/>
          <w:color w:val="1A2418"/>
          <w:sz w:val="22"/>
          <w:szCs w:val="22"/>
        </w:rPr>
        <w:t xml:space="preserve">Indicateurs de suivi — vélocité équipe, burn-down chart, taux de couverture tests, dette technique (SonarQube)</w:t>
      </w:r>
    </w:p>
    <w:p>
      <w:r>
        <w:br w:type="page"/>
      </w:r>
    </w:p>
    <w:p>
      <w:pPr>
        <w:pStyle w:val="Heading1"/>
        <w:spacing w:before="400" w:after="160"/>
      </w:pPr>
      <w:r>
        <w:rPr>
          <w:rFonts w:ascii="Arial" w:cs="Arial" w:eastAsia="Arial" w:hAnsi="Arial"/>
          <w:b/>
          <w:bCs/>
          <w:color w:val="3A8A00"/>
          <w:sz w:val="40"/>
          <w:szCs w:val="40"/>
        </w:rPr>
        <w:t xml:space="preserve">10. Glossaire et annexes</w:t>
      </w:r>
    </w:p>
    <w:p>
      <w:pPr>
        <w:pBdr>
          <w:bottom w:val="single" w:color="3A8A00" w:sz="6" w:space="1"/>
        </w:pBdr>
        <w:spacing w:before="160" w:after="160"/>
      </w:pPr>
      <w:r>
        <w:t xml:space="preserve"/>
      </w:r>
    </w:p>
    <w:p>
      <w:pPr>
        <w:pStyle w:val="Heading2"/>
        <w:spacing w:before="300" w:after="120"/>
      </w:pPr>
      <w:r>
        <w:rPr>
          <w:rFonts w:ascii="Arial" w:cs="Arial" w:eastAsia="Arial" w:hAnsi="Arial"/>
          <w:b/>
          <w:bCs/>
          <w:color w:val="1A2418"/>
          <w:sz w:val="30"/>
          <w:szCs w:val="30"/>
        </w:rPr>
        <w:t xml:space="preserve">10.1 Glossaire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Terme</w:t>
            </w:r>
          </w:p>
        </w:tc>
        <w:tc>
          <w:tcPr>
            <w:tcW w:type="dxa" w:w="73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Définition</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MRR</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Monthly Recurring Revenue — revenu mensuel récurrent généré par les abonnements</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ARR</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Annual Recurring Revenue — revenu annuel récurrent projeté (MRR × 12)</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Churn</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Taux de résiliation mensuel — pourcentage d'abonnés perdus sur une période</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LTV</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Lifetime Value — valeur totale générée par un client sur toute sa durée de vie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CAC</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Customer Acquisition Cost — coût total pour acquérir un nouveau client payant</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NRR</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Net Revenue Retention — rétention incluant upsells, cross-sells et downgrades</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MOIC</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Multiple On Invested Capital — ratio de rendement sur capital investi (investisseurs)</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IRR</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Internal Rate of Return — taux de rendement interne d'un portefeuille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BSPCE</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Bons de Souscription de Parts de Créateur d'Entreprise — stock-options françaises</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PMF</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Product-Market Fit — adéquation avérée entre le produit et les besoins du marché</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ICP</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Ideal Customer Profile — définition précise du client le plus susceptible d'acheter</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TJM</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Tarif Journalier Moyen — tarification journalière d'un freelance ou consultant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LOI</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Letter of Intent — lettre d'intention signée, signal d'achat fort avant contrat</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XOF</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Code ISO 4217 du Franc CFA émis par la BCEAO (Banque Centrale des États de l'Afrique de l'Ouest)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BCEAO</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Banque Centrale des États de l'Afrique de l'Ouest — émetteur du Franc CFA</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UEMOA</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Union Économique et Monétaire Ouest-Africaine — 8 états membres, zone XOF</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RGPD</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Règlement Général sur la Protection des Données — règlement UE 2016/679</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SaaS</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Software as a Service — logiciel hébergé et distribué en ligne par abonnement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B2B</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Business to Business — modèle commercial et transactions entre entreprises</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MVP</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Minimum Viable Product — version minimale d'un produit pour tester le marché</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RBAC</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Role-Based Access Control — contrôle d'accès par rôles utilisateurs</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SLA</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Service Level Agreement — engagement contractuel sur le niveau de service (uptime)</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DPO</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Data Protection Officer — délégué à la protection des données (obligatoire RGPD)</w:t>
            </w:r>
          </w:p>
        </w:tc>
      </w:tr>
      <w:tr>
        <w:tc>
          <w:tcPr>
            <w:tcW w:type="dxa" w:w="17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E2E</w:t>
            </w:r>
          </w:p>
        </w:tc>
        <w:tc>
          <w:tcPr>
            <w:tcW w:type="dxa" w:w="73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End-to-End — tests couvrant le parcours utilisateur complet de bout en bout</w:t>
            </w:r>
          </w:p>
        </w:tc>
      </w:tr>
      <w:tr>
        <w:tc>
          <w:tcPr>
            <w:tcW w:type="dxa" w:w="17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CI/CD</w:t>
            </w:r>
          </w:p>
        </w:tc>
        <w:tc>
          <w:tcPr>
            <w:tcW w:type="dxa" w:w="73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Continuous Integration / Continuous Deployment — pipeline automatisé de build et déploiement</w:t>
            </w:r>
          </w:p>
        </w:tc>
      </w:tr>
    </w:tbl>
    <w:p>
      <w:pPr>
        <w:spacing w:before="0" w:after="0"/>
      </w:pPr>
      <w:r>
        <w:t xml:space="preserve"/>
      </w:r>
    </w:p>
    <w:p>
      <w:pPr>
        <w:pStyle w:val="Heading2"/>
        <w:spacing w:before="300" w:after="120"/>
      </w:pPr>
      <w:r>
        <w:rPr>
          <w:rFonts w:ascii="Arial" w:cs="Arial" w:eastAsia="Arial" w:hAnsi="Arial"/>
          <w:b/>
          <w:bCs/>
          <w:color w:val="1A2418"/>
          <w:sz w:val="30"/>
          <w:szCs w:val="30"/>
        </w:rPr>
        <w:t xml:space="preserve">10.2 Documents annexes à produire</w:t>
      </w:r>
    </w:p>
    <w:p>
      <w:pPr>
        <w:pStyle w:val="ListParagraph"/>
        <w:numPr>
          <w:ilvl w:val="0"/>
          <w:numId w:val="2"/>
        </w:numPr>
        <w:spacing w:before="40" w:after="40" w:line="300"/>
      </w:pPr>
      <w:r>
        <w:rPr>
          <w:rFonts w:ascii="Arial" w:cs="Arial" w:eastAsia="Arial" w:hAnsi="Arial"/>
          <w:color w:val="1A2418"/>
          <w:sz w:val="22"/>
          <w:szCs w:val="22"/>
        </w:rPr>
        <w:t xml:space="preserve">Annexe A — Maquettes et prototypes Figma complets (tous profils, toutes pages, états interactifs)</w:t>
      </w:r>
    </w:p>
    <w:p>
      <w:pPr>
        <w:pStyle w:val="ListParagraph"/>
        <w:numPr>
          <w:ilvl w:val="0"/>
          <w:numId w:val="2"/>
        </w:numPr>
        <w:spacing w:before="40" w:after="40" w:line="300"/>
      </w:pPr>
      <w:r>
        <w:rPr>
          <w:rFonts w:ascii="Arial" w:cs="Arial" w:eastAsia="Arial" w:hAnsi="Arial"/>
          <w:color w:val="1A2418"/>
          <w:sz w:val="22"/>
          <w:szCs w:val="22"/>
        </w:rPr>
        <w:t xml:space="preserve">Annexe B — Spécifications API REST complètes (endpoints, payloads, codes d'erreur, authentification, rate limiting)</w:t>
      </w:r>
    </w:p>
    <w:p>
      <w:pPr>
        <w:pStyle w:val="ListParagraph"/>
        <w:numPr>
          <w:ilvl w:val="0"/>
          <w:numId w:val="2"/>
        </w:numPr>
        <w:spacing w:before="40" w:after="40" w:line="300"/>
      </w:pPr>
      <w:r>
        <w:rPr>
          <w:rFonts w:ascii="Arial" w:cs="Arial" w:eastAsia="Arial" w:hAnsi="Arial"/>
          <w:color w:val="1A2418"/>
          <w:sz w:val="22"/>
          <w:szCs w:val="22"/>
        </w:rPr>
        <w:t xml:space="preserve">Annexe C — Schéma de base de données (ERD complet avec relations, contraintes, index)</w:t>
      </w:r>
    </w:p>
    <w:p>
      <w:pPr>
        <w:pStyle w:val="ListParagraph"/>
        <w:numPr>
          <w:ilvl w:val="0"/>
          <w:numId w:val="2"/>
        </w:numPr>
        <w:spacing w:before="40" w:after="40" w:line="300"/>
      </w:pPr>
      <w:r>
        <w:rPr>
          <w:rFonts w:ascii="Arial" w:cs="Arial" w:eastAsia="Arial" w:hAnsi="Arial"/>
          <w:color w:val="1A2418"/>
          <w:sz w:val="22"/>
          <w:szCs w:val="22"/>
        </w:rPr>
        <w:t xml:space="preserve">Annexe D — Plan de tests détaillé (cas de test par feature, critères pass/fail, environnements)</w:t>
      </w:r>
    </w:p>
    <w:p>
      <w:pPr>
        <w:pStyle w:val="ListParagraph"/>
        <w:numPr>
          <w:ilvl w:val="0"/>
          <w:numId w:val="2"/>
        </w:numPr>
        <w:spacing w:before="40" w:after="40" w:line="300"/>
      </w:pPr>
      <w:r>
        <w:rPr>
          <w:rFonts w:ascii="Arial" w:cs="Arial" w:eastAsia="Arial" w:hAnsi="Arial"/>
          <w:color w:val="1A2418"/>
          <w:sz w:val="22"/>
          <w:szCs w:val="22"/>
        </w:rPr>
        <w:t xml:space="preserve">Annexe E — Politique de confidentialité et CGU — version juridique validée par avocat</w:t>
      </w:r>
    </w:p>
    <w:p>
      <w:pPr>
        <w:pStyle w:val="ListParagraph"/>
        <w:numPr>
          <w:ilvl w:val="0"/>
          <w:numId w:val="2"/>
        </w:numPr>
        <w:spacing w:before="40" w:after="40" w:line="300"/>
      </w:pPr>
      <w:r>
        <w:rPr>
          <w:rFonts w:ascii="Arial" w:cs="Arial" w:eastAsia="Arial" w:hAnsi="Arial"/>
          <w:color w:val="1A2418"/>
          <w:sz w:val="22"/>
          <w:szCs w:val="22"/>
        </w:rPr>
        <w:t xml:space="preserve">Annexe F — Plan marketing et communication (go-to-market, canaux, budget, KPIs)</w:t>
      </w:r>
    </w:p>
    <w:p>
      <w:pPr>
        <w:pStyle w:val="ListParagraph"/>
        <w:numPr>
          <w:ilvl w:val="0"/>
          <w:numId w:val="2"/>
        </w:numPr>
        <w:spacing w:before="40" w:after="40" w:line="300"/>
      </w:pPr>
      <w:r>
        <w:rPr>
          <w:rFonts w:ascii="Arial" w:cs="Arial" w:eastAsia="Arial" w:hAnsi="Arial"/>
          <w:color w:val="1A2418"/>
          <w:sz w:val="22"/>
          <w:szCs w:val="22"/>
        </w:rPr>
        <w:t xml:space="preserve">Annexe G — Procédure de gestion des incidents et plan de continuité d'activité (PCA)</w:t>
      </w:r>
    </w:p>
    <w:p>
      <w:pPr>
        <w:pStyle w:val="ListParagraph"/>
        <w:numPr>
          <w:ilvl w:val="0"/>
          <w:numId w:val="2"/>
        </w:numPr>
        <w:spacing w:before="40" w:after="40" w:line="300"/>
      </w:pPr>
      <w:r>
        <w:rPr>
          <w:rFonts w:ascii="Arial" w:cs="Arial" w:eastAsia="Arial" w:hAnsi="Arial"/>
          <w:color w:val="1A2418"/>
          <w:sz w:val="22"/>
          <w:szCs w:val="22"/>
        </w:rPr>
        <w:t xml:space="preserve">Annexe H — Guide de contribution technique (conventions de code, Git flow, review checklist)</w:t>
      </w:r>
    </w:p>
    <w:p>
      <w:pPr>
        <w:spacing w:before="0" w:after="0"/>
      </w:pPr>
      <w:r>
        <w:t xml:space="preserve"/>
      </w:r>
    </w:p>
    <w:p>
      <w:pPr>
        <w:pStyle w:val="Heading2"/>
        <w:spacing w:before="300" w:after="120"/>
      </w:pPr>
      <w:r>
        <w:rPr>
          <w:rFonts w:ascii="Arial" w:cs="Arial" w:eastAsia="Arial" w:hAnsi="Arial"/>
          <w:b/>
          <w:bCs/>
          <w:color w:val="1A2418"/>
          <w:sz w:val="30"/>
          <w:szCs w:val="30"/>
        </w:rPr>
        <w:t xml:space="preserve">10.3 Validation et approbation du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Rôle</w:t>
            </w:r>
          </w:p>
        </w:tc>
        <w:tc>
          <w:tcPr>
            <w:tcW w:type="dxa" w:w="2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Nom</w:t>
            </w:r>
          </w:p>
        </w:tc>
        <w:tc>
          <w:tcPr>
            <w:tcW w:type="dxa" w:w="2200"/>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426"/>
            <w:tcBorders>
              <w:top w:val="single" w:color="CCCCCC" w:sz="1"/>
              <w:left w:val="single" w:color="CCCCCC" w:sz="1"/>
              <w:bottom w:val="single" w:color="CCCCCC" w:sz="1"/>
              <w:right w:val="single" w:color="CCCCCC" w:sz="1"/>
            </w:tcBorders>
            <w:shd w:fill="3A8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Signature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Product Owner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 / _____ / 2025</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Directeur Technique</w:t>
            </w:r>
          </w:p>
        </w:tc>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 / _____ / 2025</w:t>
            </w:r>
          </w:p>
        </w:tc>
        <w:tc>
          <w:tcPr>
            <w:tcW w:type="dxa" w:w="2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Directeur Général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 / _____ / 2025</w:t>
            </w:r>
          </w:p>
        </w:tc>
        <w:tc>
          <w:tcPr>
            <w:tcW w:type="dxa" w:w="24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r>
      <w:tr>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Responsable Légal</w:t>
            </w:r>
          </w:p>
        </w:tc>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c>
          <w:tcPr>
            <w:tcW w:type="dxa" w:w="2200"/>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 / _____ / 2025</w:t>
            </w:r>
          </w:p>
        </w:tc>
        <w:tc>
          <w:tcPr>
            <w:tcW w:type="dxa" w:w="2426"/>
            <w:tcBorders>
              <w:top w:val="single" w:color="CCCCCC" w:sz="1"/>
              <w:left w:val="single" w:color="CCCCCC" w:sz="1"/>
              <w:bottom w:val="single" w:color="CCCCCC" w:sz="1"/>
              <w:right w:val="single" w:color="CCCCCC" w:sz="1"/>
            </w:tcBorders>
            <w:shd w:fill="F4F7F2" w:val="clear"/>
            <w:tcMar>
              <w:top w:type="dxa" w:w="90"/>
              <w:left w:type="dxa" w:w="140"/>
              <w:bottom w:type="dxa" w:w="90"/>
              <w:right w:type="dxa" w:w="140"/>
            </w:tcMar>
          </w:tcPr>
          <w:p>
            <w:r>
              <w:rPr>
                <w:rFonts w:ascii="Arial" w:cs="Arial" w:eastAsia="Arial" w:hAnsi="Arial"/>
                <w:color w:val="1A2418"/>
                <w:sz w:val="20"/>
                <w:szCs w:val="20"/>
              </w:rPr>
              <w:t xml:space="preserve">___________________</w:t>
            </w:r>
          </w:p>
        </w:tc>
      </w:tr>
    </w:tbl>
    <w:p>
      <w:pPr>
        <w:spacing w:before="0" w:after="0"/>
      </w:pPr>
      <w:r>
        <w:t xml:space="preserve"/>
      </w:r>
    </w:p>
    <w:p>
      <w:pPr>
        <w:spacing w:before="0" w:after="0"/>
      </w:pPr>
      <w:r>
        <w:t xml:space="preserve"/>
      </w:r>
    </w:p>
    <w:p>
      <w:pPr>
        <w:pBdr>
          <w:bottom w:val="single" w:color="3A8A00" w:sz="6" w:space="1"/>
        </w:pBdr>
        <w:spacing w:before="160" w:after="160"/>
      </w:pPr>
      <w:r>
        <w:t xml:space="preserve"/>
      </w:r>
    </w:p>
    <w:p>
      <w:pPr>
        <w:spacing w:before="240" w:after="80"/>
        <w:jc w:val="center"/>
      </w:pPr>
      <w:r>
        <w:rPr>
          <w:rFonts w:ascii="Arial" w:cs="Arial" w:eastAsia="Arial" w:hAnsi="Arial"/>
          <w:i/>
          <w:iCs/>
          <w:color w:val="4A5E45"/>
          <w:sz w:val="18"/>
          <w:szCs w:val="18"/>
        </w:rPr>
        <w:t xml:space="preserve">GrowHubLink — Cahier des charges v1.0 — Document confidentiel</w:t>
      </w:r>
    </w:p>
    <w:p>
      <w:pPr>
        <w:spacing w:before="0" w:after="0"/>
        <w:jc w:val="center"/>
      </w:pPr>
      <w:r>
        <w:rPr>
          <w:rFonts w:ascii="Arial" w:cs="Arial" w:eastAsia="Arial" w:hAnsi="Arial"/>
          <w:i/>
          <w:iCs/>
          <w:color w:val="4A5E45"/>
          <w:sz w:val="18"/>
          <w:szCs w:val="18"/>
        </w:rPr>
        <w:t xml:space="preserve">Mars 2025 — Document évolutif soumis à révision trimestrielle — Tous droits réservés GrowHubLink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8A00" w:sz="6" w:space="4"/>
      </w:pBdr>
      <w:tabs>
        <w:tab w:val="right" w:pos="9026"/>
      </w:tabs>
      <w:spacing w:before="120" w:after="0"/>
    </w:pPr>
    <w:r>
      <w:rPr>
        <w:rFonts w:ascii="Arial" w:cs="Arial" w:eastAsia="Arial" w:hAnsi="Arial"/>
        <w:color w:val="4A5E45"/>
        <w:sz w:val="18"/>
        <w:szCs w:val="18"/>
      </w:rPr>
      <w:t xml:space="preserve">Mars 2025  —  GrowHubLink SaaS Platform</w:t>
    </w:r>
    <w:r>
      <w:rPr>
        <w:rFonts w:ascii="Arial" w:cs="Arial" w:eastAsia="Arial" w:hAnsi="Arial"/>
        <w:sz w:val="18"/>
        <w:szCs w:val="18"/>
      </w:rPr>
      <w:t xml:space="preserve">	</w:t>
    </w:r>
    <w:r>
      <w:rPr>
        <w:rFonts w:ascii="Arial" w:cs="Arial" w:eastAsia="Arial" w:hAnsi="Arial"/>
        <w:color w:val="4A5E45"/>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A00" w:sz="6" w:space="4"/>
      </w:pBdr>
      <w:spacing w:before="0" w:after="120"/>
    </w:pPr>
    <w:r>
      <w:rPr>
        <w:rFonts w:ascii="Arial" w:cs="Arial" w:eastAsia="Arial" w:hAnsi="Arial"/>
        <w:b/>
        <w:bCs/>
        <w:color w:val="3A8A00"/>
        <w:sz w:val="18"/>
        <w:szCs w:val="18"/>
      </w:rPr>
      <w:t xml:space="preserve">GrowHubLink</w:t>
    </w:r>
    <w:r>
      <w:rPr>
        <w:rFonts w:ascii="Arial" w:cs="Arial" w:eastAsia="Arial" w:hAnsi="Arial"/>
        <w:color w:val="4A5E45"/>
        <w:sz w:val="18"/>
        <w:szCs w:val="18"/>
      </w:rPr>
      <w:t xml:space="preserve">  —  Cahier des charges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3A8A00"/>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A2418"/>
      <w:sz w:val="30"/>
      <w:szCs w:val="30"/>
    </w:rPr>
  </w:style>
  <w:style w:type="paragraph" w:styleId="Heading3">
    <w:name w:val="Heading 3"/>
    <w:basedOn w:val="Normal"/>
    <w:next w:val="Normal"/>
    <w:qFormat/>
    <w:pPr>
      <w:spacing w:before="200" w:after="80"/>
      <w:outlineLvl w:val="2"/>
    </w:pPr>
    <w:rPr>
      <w:rFonts w:ascii="Arial" w:cs="Arial" w:eastAsia="Arial" w:hAnsi="Arial"/>
      <w:b/>
      <w:bCs/>
      <w:color w:val="4A5E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2026-03-04T05:17:58.815Z</dcterms:created>
  <dcterms:modified xsi:type="dcterms:W3CDTF">2026-03-04T05:17:58.816Z</dcterms:modified>
</cp:coreProperties>
</file>

<file path=docProps/custom.xml><?xml version="1.0" encoding="utf-8"?>
<Properties xmlns="http://schemas.openxmlformats.org/officeDocument/2006/custom-properties" xmlns:vt="http://schemas.openxmlformats.org/officeDocument/2006/docPropsVTypes"/>
</file>