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single" w:color="FFBA08" w:sz="24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shd w:fill="1F027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N'ma SIM — Vocal : guide d'intégration</w:t>
            </w:r>
          </w:p>
          <w:p>
            <w:pPr>
              <w:spacing w:before="40"/>
            </w:pPr>
            <w:r>
              <w:rPr>
                <w:i/>
                <w:iCs/>
                <w:color w:val="FFBA08"/>
                <w:sz w:val="19"/>
                <w:szCs w:val="19"/>
              </w:rPr>
              <w:t xml:space="preserve">Pour le développeur — quel audio jouer à chaque étape (langue : soussou)</w:t>
            </w:r>
          </w:p>
        </w:tc>
      </w:tr>
    </w:tbl>
    <w:p>
      <w:pPr>
        <w:spacing w:after="160"/>
      </w:pPr>
    </w:p>
    <w:p>
      <w:pPr>
        <w:spacing w:after="90"/>
      </w:pPr>
      <w:r>
        <w:rPr>
          <w:color w:val="1a1a1a"/>
          <w:sz w:val="20"/>
          <w:szCs w:val="20"/>
        </w:rPr>
        <w:t xml:space="preserve">Ce document indique, pour chaque étape du parcours de la borne, le fichier audio à jouer et le message correspondant. Les fichiers audio (soussou) sont fournis à part, rangés par service. La langue par défaut ici est le soussou ; les autres langues suivront la même structure (un dossier par langue).</w:t>
      </w:r>
    </w:p>
    <w:p>
      <w:pPr>
        <w:spacing w:after="120" w:before="180"/>
      </w:pPr>
      <w:r>
        <w:rPr>
          <w:b/>
          <w:bCs/>
          <w:color w:val="1F0270"/>
          <w:sz w:val="28"/>
          <w:szCs w:val="28"/>
        </w:rPr>
        <w:t xml:space="preserve">1. Comment jouer un audio (côté web)</w:t>
      </w:r>
    </w:p>
    <w:p>
      <w:pPr>
        <w:spacing w:after="90"/>
      </w:pPr>
      <w:r>
        <w:rPr>
          <w:color w:val="1a1a1a"/>
          <w:sz w:val="20"/>
          <w:szCs w:val="20"/>
        </w:rPr>
        <w:t xml:space="preserve">Le son de la borne doit sortir côté interface (le navigateur qui tourne sur la borne / Raspberry Pi), pas côté serveur. On joue donc les fichiers audio directement dans le navigateur.</w:t>
      </w:r>
    </w:p>
    <w:p>
      <w:pPr>
        <w:spacing w:after="70" w:before="160"/>
      </w:pPr>
      <w:r>
        <w:rPr>
          <w:b/>
          <w:bCs/>
          <w:color w:val="1a1a1a"/>
          <w:sz w:val="23"/>
          <w:szCs w:val="23"/>
        </w:rPr>
        <w:t xml:space="preserve">Option simple — balise audio HTML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&lt;audio id="voix" src="/audio/sus/nouvelle_sim/Etape_1_Type_piece.wav"&gt;&lt;/audio&gt;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&lt;script&gt;document.getElementById("voix").play();&lt;/script&gt;</w:t>
      </w:r>
    </w:p>
    <w:p>
      <w:pPr>
        <w:spacing w:after="70" w:before="160"/>
      </w:pPr>
      <w:r>
        <w:rPr>
          <w:b/>
          <w:bCs/>
          <w:color w:val="1a1a1a"/>
          <w:sz w:val="23"/>
          <w:szCs w:val="23"/>
        </w:rPr>
        <w:t xml:space="preserve">Option recommandée — en JavaScript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function parler(service, fichier) {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const audio = new Audio(`/audio/sus/${service}/${fichier}`);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audio.play();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exemple : parler("nouvelle_sim", "Etape_1_Type_piece.wav");</w:t>
      </w:r>
    </w:p>
    <w:p>
      <w:pPr>
        <w:spacing w:after="60"/>
      </w:pPr>
    </w:p>
    <w:p>
      <w:pPr>
        <w:spacing w:after="90"/>
      </w:pPr>
      <w:r>
        <w:rPr>
          <w:i/>
          <w:iCs/>
          <w:color w:val="6B7280"/>
          <w:sz w:val="18"/>
          <w:szCs w:val="18"/>
        </w:rPr>
        <w:t xml:space="preserve">Les fichiers audio sont servis comme des fichiers statiques (dossier public). Le navigateur les joue nativement — le WAV est lu par tous les navigateurs modernes. Aucun module Python n'est nécessaire côté web.</w:t>
      </w:r>
    </w:p>
    <w:p>
      <w:pPr>
        <w:spacing w:after="90"/>
      </w:pPr>
      <w:r>
        <w:rPr>
          <w:i/>
          <w:iCs/>
          <w:color w:val="6B7280"/>
          <w:sz w:val="18"/>
          <w:szCs w:val="18"/>
        </w:rPr>
        <w:t xml:space="preserve">Astuce : afficher aussi le texte français à l'écran pendant que l'audio joue (accessibilité, et repli si le son est coupé).</w:t>
      </w:r>
    </w:p>
    <w:p>
      <w:pPr>
        <w:spacing w:after="120" w:before="180"/>
      </w:pPr>
      <w:r>
        <w:rPr>
          <w:b/>
          <w:bCs/>
          <w:color w:val="1F0270"/>
          <w:sz w:val="28"/>
          <w:szCs w:val="28"/>
        </w:rPr>
        <w:t xml:space="preserve">2. Faire cohabiter le français (Grok) et le soussou (audios)</w:t>
      </w:r>
    </w:p>
    <w:p>
      <w:pPr>
        <w:spacing w:after="90"/>
      </w:pPr>
      <w:r>
        <w:rPr>
          <w:color w:val="1a1a1a"/>
          <w:sz w:val="20"/>
          <w:szCs w:val="20"/>
        </w:rPr>
        <w:t xml:space="preserve">L'assistance française passe par l'API Grok (text-to-speech), qui génère la voix à partir du texte. Le soussou, lui, ne peut PAS passer par Grok : aucune synthèse vocale au monde ne gère le soussou, le pular ni le malinké. Ces langues utilisent donc obligatoirement les fichiers audio enregistrés.</w:t>
      </w:r>
    </w:p>
    <w:p>
      <w:pPr>
        <w:spacing w:after="90"/>
      </w:pPr>
      <w:r>
        <w:rPr>
          <w:color w:val="1a1a1a"/>
          <w:sz w:val="20"/>
          <w:szCs w:val="20"/>
        </w:rPr>
        <w:t xml:space="preserve">La solution : une seule fonction parler() qui choisit le bon mécanisme selon la langue active.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async function parler(service, etape, texteFrancais) {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const langue = langueActive();   // "fr" ou "sus"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/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if (langue === "sus") {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SOUSSOU : jouer le fichier audio enregistré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const fichier = AUDIO_SOUSSOU[service][etape];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new Audio(`/audio/sus/${service}/${fichier}`).play();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} else {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FRANÇAIS : demander l'audio à l'API Grok (déjà en place)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const audioGrok = await genererVoixGrok(texteFrancais);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audioGrok.play();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}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90"/>
      </w:pPr>
      <w:r>
        <w:rPr>
          <w:i/>
          <w:iCs/>
          <w:color w:val="6B7280"/>
          <w:sz w:val="18"/>
          <w:szCs w:val="18"/>
        </w:rPr>
        <w:t xml:space="preserve">Point important : Grok peut dire n'importe quel texte, mais le soussou ne peut dire QUE les phrases enregistrées. Si un message n'a pas d'équivalent audio soussou, prévoir un repli (afficher le texte à l'écran, ou jouer un message générique).</w:t>
      </w:r>
    </w:p>
    <w:p>
      <w:r>
        <w:br w:type="page"/>
      </w:r>
    </w:p>
    <w:p>
      <w:pPr>
        <w:spacing w:after="120" w:before="180"/>
      </w:pPr>
      <w:r>
        <w:rPr>
          <w:b/>
          <w:bCs/>
          <w:color w:val="1F0270"/>
          <w:sz w:val="28"/>
          <w:szCs w:val="28"/>
        </w:rPr>
        <w:t xml:space="preserve">3. Correspondance étape → audio</w:t>
      </w:r>
    </w:p>
    <w:p>
      <w:pPr>
        <w:spacing w:after="70" w:before="160"/>
      </w:pPr>
      <w:r>
        <w:rPr>
          <w:b/>
          <w:bCs/>
          <w:color w:val="1a1a1a"/>
          <w:sz w:val="23"/>
          <w:szCs w:val="23"/>
        </w:rPr>
        <w:t xml:space="preserve">Commun (avant le choix du service)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700"/>
        <w:gridCol w:w="4100"/>
        <w:gridCol w:w="3550"/>
      </w:tblGrid>
      <w:tr>
        <w:trPr>
          <w:tblHeader/>
        </w:trPr>
        <w:tc>
          <w:tcPr>
            <w:tcW w:type="dxa" w:w="1700"/>
            <w:shd w:fill="1F027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Étape (appel)</w:t>
            </w:r>
          </w:p>
        </w:tc>
        <w:tc>
          <w:tcPr>
            <w:tcW w:type="dxa" w:w="4100"/>
            <w:shd w:fill="1F027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Fichier audio à jouer</w:t>
            </w:r>
          </w:p>
        </w:tc>
        <w:tc>
          <w:tcPr>
            <w:tcW w:type="dxa" w:w="3550"/>
            <w:shd w:fill="1F027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Ce que dit la borne (français)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commun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Choix_Service.wav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Que souhaitez-vous faire ? (choix du service)</w:t>
            </w:r>
          </w:p>
        </w:tc>
      </w:tr>
    </w:tbl>
    <w:p>
      <w:pPr>
        <w:spacing w:after="70" w:before="160"/>
      </w:pPr>
      <w:r>
        <w:rPr>
          <w:b/>
          <w:bCs/>
          <w:color w:val="1a1a1a"/>
          <w:sz w:val="23"/>
          <w:szCs w:val="23"/>
        </w:rPr>
        <w:t xml:space="preserve">Service 1 — Nouvelle SIM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700"/>
        <w:gridCol w:w="4100"/>
        <w:gridCol w:w="3550"/>
      </w:tblGrid>
      <w:tr>
        <w:trPr>
          <w:tblHeader/>
        </w:trPr>
        <w:tc>
          <w:tcPr>
            <w:tcW w:type="dxa" w:w="1700"/>
            <w:shd w:fill="1F027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Étape (appel)</w:t>
            </w:r>
          </w:p>
        </w:tc>
        <w:tc>
          <w:tcPr>
            <w:tcW w:type="dxa" w:w="4100"/>
            <w:shd w:fill="1F027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Fichier audio à jouer</w:t>
            </w:r>
          </w:p>
        </w:tc>
        <w:tc>
          <w:tcPr>
            <w:tcW w:type="dxa" w:w="3550"/>
            <w:shd w:fill="1F027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Ce que dit la borne (français)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1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Etape_1_Type_piece.wav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Choisissez votre type de pièce.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2_1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Etape_2_1_Scan_piece_recto.wav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Présentez le recto de la pièce.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2_2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Etape_2_2_Scan_piece_Verso_si_piece_n_est_pas_electeur.wav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Présentez le verso (sauf carte d'électeur).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3_1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Etape_3_1_Selfie_Scan.wav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Placez votre visage dans le cercle.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3_2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Etape_3_2_erreur_lors_verification_visage.wav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Erreur de vérification du visage, réessayez.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4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Etape_4_choix_recharge_direct_facultatives.wav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Offre de recharge (facultative).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5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Etape_5_Choix_de_moyen_paiement.wav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Choisissez votre moyen de paiement.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6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Etape_6_Confirmation_de_paiement_via_OM.wav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Confirmation du paiement via Orange Money.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7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Etape_7_Recuperation_de_reçu.wav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Récupérez votre reçu.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8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Etape_8_Final_SIM_recupere_SIM.wav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Récupérez votre carte SIM.</w:t>
            </w:r>
          </w:p>
        </w:tc>
      </w:tr>
    </w:tbl>
    <w:p>
      <w:pPr>
        <w:spacing w:after="70" w:before="160"/>
      </w:pPr>
      <w:r>
        <w:rPr>
          <w:b/>
          <w:bCs/>
          <w:color w:val="1a1a1a"/>
          <w:sz w:val="23"/>
          <w:szCs w:val="23"/>
        </w:rPr>
        <w:t xml:space="preserve">Service 2 — Réactivation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700"/>
        <w:gridCol w:w="4100"/>
        <w:gridCol w:w="3550"/>
      </w:tblGrid>
      <w:tr>
        <w:trPr>
          <w:tblHeader/>
        </w:trPr>
        <w:tc>
          <w:tcPr>
            <w:tcW w:type="dxa" w:w="1700"/>
            <w:shd w:fill="1F027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Étape (appel)</w:t>
            </w:r>
          </w:p>
        </w:tc>
        <w:tc>
          <w:tcPr>
            <w:tcW w:type="dxa" w:w="4100"/>
            <w:shd w:fill="1F027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Fichier audio à jouer</w:t>
            </w:r>
          </w:p>
        </w:tc>
        <w:tc>
          <w:tcPr>
            <w:tcW w:type="dxa" w:w="3550"/>
            <w:shd w:fill="1F027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Ce que dit la borne (français)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1_1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Etape_1_1_mettre_le_numero_a_reactiver.wav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Saisissez le numéro à réactiver.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1_2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Etape_1_2_motif_reactivation.wav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Indiquez le motif de réactivation.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1_3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Etape_1_3_Mettre_les_2_numeros_favoris_pour_reactivation.wav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Indiquez 2 numéros fréquemment appelés.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2_1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Etape_2_1_choix_de_type_piece.wav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Choisissez votre type de pièce.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2_2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Etape_2_2_Scan_piece_recto - Copie.wav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Présentez le recto de la pièce.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2_3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Etape_2_3_Scan_piece_Verso.wav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Présentez le verso de la pièce.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3_1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Etape_3_1_Selfie_Scan.wav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Placez votre visage dans le cercle.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3_2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Etape_3_2_erreur_lors_verification_visage.wav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Erreur de vérification du visage, réessayez.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4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Etape_4_Choix_de_moyen_paiement.wav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Choisissez votre moyen de paiement.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5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Etape_5_Confirmation_de_paiement_via_OM.wav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Confirmation du paiement via Orange Money.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6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Etape_6_Recuperation_de_reçu.wav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Récupérez votre reçu.</w:t>
            </w:r>
          </w:p>
        </w:tc>
      </w:tr>
      <w:tr>
        <w:tc>
          <w:tcPr>
            <w:tcW w:type="dxa" w:w="17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0270"/>
                <w:sz w:val="16"/>
                <w:szCs w:val="16"/>
              </w:rPr>
              <w:t xml:space="preserve">7</w:t>
            </w:r>
          </w:p>
        </w:tc>
        <w:tc>
          <w:tcPr>
            <w:tcW w:type="dxa" w:w="410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7D33"/>
                <w:sz w:val="16"/>
                <w:szCs w:val="16"/>
              </w:rPr>
              <w:t xml:space="preserve">Etape_7_Final_SIM_recupere_SIM.wav</w:t>
            </w:r>
          </w:p>
        </w:tc>
        <w:tc>
          <w:tcPr>
            <w:tcW w:type="dxa" w:w="3550"/>
            <w:shd w:fill="F5F5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Récupérez votre nouvelle carte SIM.</w:t>
            </w:r>
          </w:p>
        </w:tc>
      </w:tr>
    </w:tbl>
    <w:p>
      <w:r>
        <w:br w:type="page"/>
      </w:r>
    </w:p>
    <w:p>
      <w:pPr>
        <w:spacing w:after="120" w:before="180"/>
      </w:pPr>
      <w:r>
        <w:rPr>
          <w:b/>
          <w:bCs/>
          <w:color w:val="1F0270"/>
          <w:sz w:val="28"/>
          <w:szCs w:val="28"/>
        </w:rPr>
        <w:t xml:space="preserve">4. Organisation des fichiers audio</w:t>
      </w:r>
    </w:p>
    <w:p>
      <w:pPr>
        <w:spacing w:after="90"/>
      </w:pPr>
      <w:r>
        <w:rPr>
          <w:color w:val="1a1a1a"/>
          <w:sz w:val="20"/>
          <w:szCs w:val="20"/>
        </w:rPr>
        <w:t xml:space="preserve">Les fichiers sont rangés par service, dans un dossier par langue. À servir comme fichiers statiques (par ex. sous /public/audio/) :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audio/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sus/                         (soussou ; puis fr/, pul/, man/...)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commun/       Choix_Service.wav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nouvelle_sim/ Etape_1_Type_piece.wav, Etape_2_1_..., ... Etape_8_...</w:t>
      </w:r>
    </w:p>
    <w:p>
      <w:pPr>
        <w:shd w:fill="F5F5F4" w:val="clear"/>
        <w:spacing w:after="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reactivation/ Etape_1_1_..., Etape_1_2_..., ... Etape_7_...</w:t>
      </w:r>
    </w:p>
    <w:p>
      <w:pPr>
        <w:spacing w:after="80"/>
      </w:pPr>
    </w:p>
    <w:p>
      <w:pPr>
        <w:spacing w:after="90"/>
      </w:pPr>
      <w:r>
        <w:rPr>
          <w:color w:val="1a1a1a"/>
          <w:sz w:val="20"/>
          <w:szCs w:val="20"/>
        </w:rPr>
        <w:t xml:space="preserve">Format des fichiers : WAV mono 16 kHz (léger, lu par tous les navigateurs).</w:t>
      </w:r>
    </w:p>
    <w:p>
      <w:pPr>
        <w:spacing w:after="70" w:before="160"/>
      </w:pPr>
      <w:r>
        <w:rPr>
          <w:b/>
          <w:bCs/>
          <w:color w:val="1a1a1a"/>
          <w:sz w:val="23"/>
          <w:szCs w:val="23"/>
        </w:rPr>
        <w:t xml:space="preserve">Encore à venir (à enregistrer)</w:t>
      </w:r>
    </w:p>
    <w:p>
      <w:pPr>
        <w:spacing w:after="90"/>
      </w:pPr>
      <w:r>
        <w:rPr>
          <w:color w:val="1a1a1a"/>
          <w:sz w:val="20"/>
          <w:szCs w:val="20"/>
        </w:rPr>
        <w:t xml:space="preserve">• Accueil : « bienvenue » et « choix de la langue » (dossier commun).</w:t>
      </w:r>
    </w:p>
    <w:p>
      <w:pPr>
        <w:spacing w:after="90"/>
      </w:pPr>
      <w:r>
        <w:rPr>
          <w:color w:val="1a1a1a"/>
          <w:sz w:val="20"/>
          <w:szCs w:val="20"/>
        </w:rPr>
        <w:t xml:space="preserve">• Les services Recharge et Vérification.</w:t>
      </w:r>
    </w:p>
    <w:p>
      <w:pPr>
        <w:spacing w:after="90"/>
      </w:pPr>
      <w:r>
        <w:rPr>
          <w:color w:val="1a1a1a"/>
          <w:sz w:val="20"/>
          <w:szCs w:val="20"/>
        </w:rPr>
        <w:t xml:space="preserve">• Les autres langues (français, pular, malinké) : même structure, un dossier par langue.</w:t>
      </w:r>
    </w:p>
    <w:p>
      <w:pPr>
        <w:spacing w:after="120"/>
      </w:pPr>
    </w:p>
    <w:p>
      <w:pPr>
        <w:spacing w:after="90"/>
      </w:pPr>
      <w:r>
        <w:rPr>
          <w:i/>
          <w:iCs/>
          <w:color w:val="6B7280"/>
          <w:sz w:val="18"/>
          <w:szCs w:val="18"/>
        </w:rPr>
        <w:t xml:space="preserve">Rappel : ce document concerne ce que la borne DIT (lecture d'audios). La partie « comprendre » (reconnaissance de la voix du client) fait l'objet d'une livraison séparée.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2026-08-23T20:04:16.310Z</dcterms:created>
  <dcterms:modified xsi:type="dcterms:W3CDTF">2026-08-23T20:04:16.322Z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