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 w:val="0"/>
        </w:rPr>
        <w:t>18 October 2026</w:t>
      </w:r>
    </w:p>
    <w:p>
      <w:pPr>
        <w:spacing w:after="280"/>
      </w:pPr>
      <w:r>
        <w:rPr>
          <w:b w:val="0"/>
        </w:rPr>
        <w:t>The Editor-in-Chief</w:t>
      </w:r>
    </w:p>
    <w:p>
      <w:pPr>
        <w:spacing w:after="160"/>
      </w:pPr>
      <w:r>
        <w:rPr>
          <w:b w:val="0"/>
        </w:rPr>
        <w:t>Dear Editor,</w:t>
      </w:r>
    </w:p>
    <w:p>
      <w:pPr>
        <w:spacing w:after="160"/>
      </w:pPr>
      <w:r>
        <w:rPr>
          <w:b w:val="0"/>
        </w:rPr>
        <w:t>I submit my manuscript “Beyond Forecast Accuracy: Decision-Centric Evaluation of Demand Forecasting for Inventory Replenishment under Intermittent and Shifting Retail Demand” for consideration as a full research article.</w:t>
      </w:r>
    </w:p>
    <w:p>
      <w:pPr>
        <w:spacing w:after="160"/>
      </w:pPr>
      <w:r>
        <w:rPr>
          <w:b w:val="0"/>
        </w:rPr>
        <w:t>Organisations spend heavily on forecast accuracy, but the business case for that spend runs through inventory decisions. On 3,999 real retail series from the public M5 data I show that the forecaster selected on out-of-sample accuracy, deployed through the standard normal-theory base-stock rule, costs 140.4% more in total inventory cost (95% CI [128.8, 153.4]) than the cost-optimal forecaster–policy pairing, at a lower fill rate. Swapping the forecaster inside that rule is worth 0.4% on the test block (CI [−1.5, +2.5]), while swapping the rule is worth 58.4%.</w:t>
      </w:r>
    </w:p>
    <w:p>
      <w:pPr>
        <w:spacing w:after="160"/>
      </w:pPr>
      <w:r>
        <w:rPr>
          <w:b w:val="0"/>
        </w:rPr>
        <w:t>The paper decomposes the gap and reports an honest tuned baseline: a normal-theory rule tuned on a validation year (safety factor, dispersion refresh, daily (s,S) structure) still costs 25.8% more than the best pairing. It also shows that post-hoc calibrated quantiles raise cost (+21.8%) while a trained quantile model lowers it (−28.9%), and that per-SKU strategy selection, including a gradient-boosted meta-classifier, is counter-productive despite 19.7% oracle headroom. All selection uses a validation year and every number is generated by code that is supplied with the paper. The conclusions hold on an independent sample draw and across ten decision environments.</w:t>
      </w:r>
    </w:p>
    <w:p>
      <w:pPr>
        <w:spacing w:after="160"/>
      </w:pPr>
      <w:r>
        <w:rPr>
          <w:b w:val="0"/>
        </w:rPr>
        <w:t>I believe the work suits your readers because it evaluates forecasting methods by the decisions they support, on the community’s standard retail benchmark, with a fully reproducible pipeline.</w:t>
      </w:r>
    </w:p>
    <w:p>
      <w:pPr>
        <w:spacing w:after="160"/>
      </w:pPr>
      <w:r>
        <w:rPr>
          <w:b w:val="0"/>
        </w:rPr>
        <w:t>The manuscript is original, has not been published, and is not under consideration elsewhere. I am the sole author and approve the submission.</w:t>
      </w:r>
    </w:p>
    <w:p>
      <w:pPr>
        <w:spacing w:after="280"/>
      </w:pPr>
      <w:r>
        <w:rPr>
          <w:b w:val="0"/>
        </w:rPr>
        <w:t>Thank you for your consideration.</w:t>
      </w:r>
    </w:p>
    <w:p>
      <w:pPr>
        <w:spacing w:after="40"/>
      </w:pPr>
      <w:r>
        <w:rPr>
          <w:b w:val="0"/>
        </w:rPr>
        <w:t>Sincerely,</w:t>
      </w:r>
    </w:p>
    <w:p>
      <w:pPr>
        <w:spacing w:after="0"/>
      </w:pPr>
      <w:r>
        <w:rPr>
          <w:b/>
        </w:rPr>
        <w:t>Md Ibtashamur Rahman</w:t>
      </w:r>
    </w:p>
    <w:p>
      <w:pPr>
        <w:spacing w:after="0"/>
      </w:pPr>
      <w:r>
        <w:rPr>
          <w:b w:val="0"/>
        </w:rPr>
        <w:t>Department of Industrial and Production Engineering</w:t>
      </w:r>
    </w:p>
    <w:p>
      <w:pPr>
        <w:spacing w:after="0"/>
      </w:pPr>
      <w:r>
        <w:rPr>
          <w:b w:val="0"/>
        </w:rPr>
        <w:t>Shahjalal University of Science and Technology, Sylhet 3114, Bangladesh</w:t>
      </w:r>
    </w:p>
    <w:sectPr w:rsidR="00FC693F" w:rsidRPr="0006063C" w:rsidSect="00034616"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