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A4B8" w14:textId="1406AA79" w:rsidR="00D7097F" w:rsidRDefault="00000000">
      <w:pPr>
        <w:spacing w:after="60"/>
      </w:pPr>
      <w:r>
        <w:rPr>
          <w:b/>
          <w:bCs/>
          <w:color w:val="595959"/>
        </w:rPr>
        <w:t xml:space="preserve">PREVENTRA </w:t>
      </w:r>
    </w:p>
    <w:p w14:paraId="7676191B" w14:textId="77777777" w:rsidR="00D7097F" w:rsidRDefault="00000000">
      <w:pPr>
        <w:spacing w:after="200"/>
      </w:pPr>
      <w:r>
        <w:rPr>
          <w:b/>
          <w:bCs/>
          <w:color w:val="1F4E79"/>
          <w:sz w:val="44"/>
          <w:szCs w:val="44"/>
        </w:rPr>
        <w:t>Post-Discharge Readmission Trend Monitoring</w:t>
      </w:r>
    </w:p>
    <w:p w14:paraId="2BAE212A" w14:textId="77777777" w:rsidR="00D7097F" w:rsidRDefault="00000000">
      <w:pPr>
        <w:spacing w:after="400"/>
      </w:pPr>
      <w:r>
        <w:rPr>
          <w:i/>
          <w:iCs/>
          <w:color w:val="595959"/>
          <w:sz w:val="24"/>
          <w:szCs w:val="24"/>
        </w:rPr>
        <w:t>Feature Proposal — Weekly Readmission-Risk Re-Scoring &amp; Trend-Triggered Action</w:t>
      </w:r>
    </w:p>
    <w:p w14:paraId="523B0194" w14:textId="77777777" w:rsidR="00D7097F" w:rsidRDefault="00D7097F">
      <w:pPr>
        <w:pBdr>
          <w:bottom w:val="single" w:sz="12" w:space="1" w:color="1F4E79"/>
        </w:pBdr>
        <w:spacing w:after="300"/>
      </w:pPr>
    </w:p>
    <w:p w14:paraId="3CB862E2" w14:textId="77777777" w:rsidR="00D7097F" w:rsidRDefault="00000000">
      <w:pPr>
        <w:pStyle w:val="Heading1"/>
        <w:spacing w:before="360" w:after="160"/>
      </w:pPr>
      <w:r>
        <w:rPr>
          <w:b/>
          <w:bCs/>
          <w:color w:val="1F4E79"/>
          <w:sz w:val="30"/>
          <w:szCs w:val="30"/>
        </w:rPr>
        <w:t>1. Overview</w:t>
      </w:r>
    </w:p>
    <w:p w14:paraId="08B642F5" w14:textId="77777777" w:rsidR="00D7097F" w:rsidRDefault="00000000">
      <w:pPr>
        <w:spacing w:after="160" w:line="300" w:lineRule="auto"/>
      </w:pPr>
      <w:r>
        <w:rPr>
          <w:sz w:val="22"/>
          <w:szCs w:val="22"/>
        </w:rPr>
        <w:t xml:space="preserve">This feature extends </w:t>
      </w:r>
      <w:proofErr w:type="spellStart"/>
      <w:r>
        <w:rPr>
          <w:sz w:val="22"/>
          <w:szCs w:val="22"/>
        </w:rPr>
        <w:t>Preventra</w:t>
      </w:r>
      <w:proofErr w:type="spellEnd"/>
      <w:r>
        <w:rPr>
          <w:sz w:val="22"/>
          <w:szCs w:val="22"/>
        </w:rPr>
        <w:t xml:space="preserve"> beyond its current point-in-time readmission prediction — made once, from index-admission data — into an ongoing, longitudinal monitoring capability. Once a patient is discharged, the system will re-score their readmission risk on a weekly cadence using data collected after discharge, track whether that score is rising or falling over time, and trigger care-team actions when the trend indicates the patient is drifting toward higher risk.</w:t>
      </w:r>
    </w:p>
    <w:p w14:paraId="53337616" w14:textId="77777777" w:rsidR="00D7097F" w:rsidRDefault="00000000">
      <w:pPr>
        <w:spacing w:after="160" w:line="300" w:lineRule="auto"/>
      </w:pPr>
      <w:r>
        <w:rPr>
          <w:sz w:val="22"/>
          <w:szCs w:val="22"/>
        </w:rPr>
        <w:t>The goal is to shift the model from “predict risk once at discharge” to “keep watching risk throughout the recovery window,” so deterioration is caught while there is still time to intervene, rather than discovered at the next readmission.</w:t>
      </w:r>
    </w:p>
    <w:p w14:paraId="784615F6" w14:textId="77777777" w:rsidR="00D7097F" w:rsidRDefault="00000000">
      <w:pPr>
        <w:pStyle w:val="Heading1"/>
        <w:spacing w:before="360" w:after="160"/>
      </w:pPr>
      <w:r>
        <w:rPr>
          <w:b/>
          <w:bCs/>
          <w:color w:val="1F4E79"/>
          <w:sz w:val="30"/>
          <w:szCs w:val="30"/>
        </w:rPr>
        <w:t>2. Why This Matters</w:t>
      </w:r>
    </w:p>
    <w:p w14:paraId="33C574C1" w14:textId="4CB02E19" w:rsidR="00D7097F" w:rsidRDefault="00000000">
      <w:pPr>
        <w:spacing w:after="160" w:line="300" w:lineRule="auto"/>
      </w:pPr>
      <w:r>
        <w:rPr>
          <w:sz w:val="22"/>
          <w:szCs w:val="22"/>
        </w:rPr>
        <w:t>Today, a patient's readmission risk score is generated primarily from data available at or before discharge (admission history, labs, comorbidities, medications, demographics). Once the patient leaves the hospital, the score is not updated again unless a new encounter occurs. In practice, the weeks after discharge are exactly when risk changes most: medication adherence lapses, follow-up appointments are missed, symptoms recur, or home/social support falls through</w:t>
      </w:r>
      <w:r w:rsidR="00AB7AE7">
        <w:rPr>
          <w:sz w:val="22"/>
          <w:szCs w:val="22"/>
        </w:rPr>
        <w:t>,</w:t>
      </w:r>
      <w:r>
        <w:rPr>
          <w:sz w:val="22"/>
          <w:szCs w:val="22"/>
        </w:rPr>
        <w:t xml:space="preserve"> none of which the discharge-time score can see.</w:t>
      </w:r>
    </w:p>
    <w:p w14:paraId="391CE9A7" w14:textId="77777777" w:rsidR="00D7097F" w:rsidRDefault="00000000">
      <w:pPr>
        <w:spacing w:after="160" w:line="300" w:lineRule="auto"/>
      </w:pPr>
      <w:r>
        <w:rPr>
          <w:sz w:val="22"/>
          <w:szCs w:val="22"/>
        </w:rPr>
        <w:t>A weekly post-discharge re-score turns the model into an early-warning system for the recovery period itself, rather than a single snapshot taken on the way out the door.</w:t>
      </w:r>
    </w:p>
    <w:p w14:paraId="253C87D5" w14:textId="77777777" w:rsidR="00D7097F" w:rsidRDefault="00000000">
      <w:pPr>
        <w:pStyle w:val="Heading1"/>
        <w:spacing w:before="360" w:after="160"/>
      </w:pPr>
      <w:r>
        <w:rPr>
          <w:b/>
          <w:bCs/>
          <w:color w:val="1F4E79"/>
          <w:sz w:val="30"/>
          <w:szCs w:val="30"/>
        </w:rPr>
        <w:t>3. What “Post-Discharge Data” Means Here</w:t>
      </w:r>
    </w:p>
    <w:p w14:paraId="1E33B9E4" w14:textId="77777777" w:rsidR="00D7097F" w:rsidRDefault="00000000">
      <w:pPr>
        <w:spacing w:after="160" w:line="300" w:lineRule="auto"/>
      </w:pPr>
      <w:r>
        <w:rPr>
          <w:sz w:val="22"/>
          <w:szCs w:val="22"/>
        </w:rPr>
        <w:t xml:space="preserve">Post-discharge data is any signal collected after the patient leaves the hospital that reflects how their recovery is </w:t>
      </w:r>
      <w:proofErr w:type="gramStart"/>
      <w:r>
        <w:rPr>
          <w:sz w:val="22"/>
          <w:szCs w:val="22"/>
        </w:rPr>
        <w:t>actually going</w:t>
      </w:r>
      <w:proofErr w:type="gramEnd"/>
      <w:r>
        <w:rPr>
          <w:sz w:val="22"/>
          <w:szCs w:val="22"/>
        </w:rPr>
        <w:t>. Candidate sources include:</w:t>
      </w:r>
    </w:p>
    <w:p w14:paraId="416F2C8E" w14:textId="77777777" w:rsidR="00D7097F" w:rsidRDefault="00000000">
      <w:pPr>
        <w:pStyle w:val="ListParagraph"/>
        <w:numPr>
          <w:ilvl w:val="0"/>
          <w:numId w:val="2"/>
        </w:numPr>
        <w:spacing w:after="80" w:line="280" w:lineRule="auto"/>
      </w:pPr>
      <w:r>
        <w:rPr>
          <w:sz w:val="22"/>
          <w:szCs w:val="22"/>
        </w:rPr>
        <w:t>Follow-up appointment attendance — kept, missed, or rescheduled visits with PCP/specialists.</w:t>
      </w:r>
    </w:p>
    <w:p w14:paraId="610D1D6C" w14:textId="77777777" w:rsidR="00D7097F" w:rsidRDefault="00000000">
      <w:pPr>
        <w:pStyle w:val="ListParagraph"/>
        <w:numPr>
          <w:ilvl w:val="0"/>
          <w:numId w:val="2"/>
        </w:numPr>
        <w:spacing w:after="80" w:line="280" w:lineRule="auto"/>
      </w:pPr>
      <w:r>
        <w:rPr>
          <w:sz w:val="22"/>
          <w:szCs w:val="22"/>
        </w:rPr>
        <w:t>Medication adherence signals — refill activity, pharmacy fill gaps, or patient-reported adherence.</w:t>
      </w:r>
    </w:p>
    <w:p w14:paraId="4F2EB045" w14:textId="77777777" w:rsidR="00D7097F" w:rsidRDefault="00000000">
      <w:pPr>
        <w:pStyle w:val="ListParagraph"/>
        <w:numPr>
          <w:ilvl w:val="0"/>
          <w:numId w:val="2"/>
        </w:numPr>
        <w:spacing w:after="80" w:line="280" w:lineRule="auto"/>
      </w:pPr>
      <w:r>
        <w:rPr>
          <w:sz w:val="22"/>
          <w:szCs w:val="22"/>
        </w:rPr>
        <w:t>Patient-reported symptoms or check-in responses — collected via phone, portal, or the existing patient-facing surface.</w:t>
      </w:r>
    </w:p>
    <w:p w14:paraId="4D2D2075" w14:textId="77777777" w:rsidR="00D7097F" w:rsidRDefault="00000000">
      <w:pPr>
        <w:pStyle w:val="ListParagraph"/>
        <w:numPr>
          <w:ilvl w:val="0"/>
          <w:numId w:val="2"/>
        </w:numPr>
        <w:spacing w:after="80" w:line="280" w:lineRule="auto"/>
      </w:pPr>
      <w:r>
        <w:rPr>
          <w:sz w:val="22"/>
          <w:szCs w:val="22"/>
        </w:rPr>
        <w:t>New or escalating vitals/labs from any interim visit, urgent care touch, or home-monitoring device.</w:t>
      </w:r>
    </w:p>
    <w:p w14:paraId="5742F6BA" w14:textId="77777777" w:rsidR="00D7097F" w:rsidRDefault="00000000">
      <w:pPr>
        <w:pStyle w:val="ListParagraph"/>
        <w:numPr>
          <w:ilvl w:val="0"/>
          <w:numId w:val="2"/>
        </w:numPr>
        <w:spacing w:after="80" w:line="280" w:lineRule="auto"/>
      </w:pPr>
      <w:r>
        <w:rPr>
          <w:sz w:val="22"/>
          <w:szCs w:val="22"/>
        </w:rPr>
        <w:t>Care coordination activity — whether a coordinator has been assigned and whether follow-up tasks/notes are progressing.</w:t>
      </w:r>
    </w:p>
    <w:p w14:paraId="3F002FB0" w14:textId="77777777" w:rsidR="00D7097F" w:rsidRDefault="00000000">
      <w:pPr>
        <w:pStyle w:val="ListParagraph"/>
        <w:numPr>
          <w:ilvl w:val="0"/>
          <w:numId w:val="2"/>
        </w:numPr>
        <w:spacing w:after="80" w:line="280" w:lineRule="auto"/>
      </w:pPr>
      <w:r>
        <w:rPr>
          <w:sz w:val="22"/>
          <w:szCs w:val="22"/>
        </w:rPr>
        <w:t>Emergency department visits or observation stays that did not result in full readmission but signal instability.</w:t>
      </w:r>
    </w:p>
    <w:p w14:paraId="05323EEB" w14:textId="77777777" w:rsidR="00D7097F" w:rsidRDefault="00000000">
      <w:pPr>
        <w:pStyle w:val="ListParagraph"/>
        <w:numPr>
          <w:ilvl w:val="0"/>
          <w:numId w:val="2"/>
        </w:numPr>
        <w:spacing w:after="80" w:line="280" w:lineRule="auto"/>
      </w:pPr>
      <w:r>
        <w:rPr>
          <w:sz w:val="22"/>
          <w:szCs w:val="22"/>
        </w:rPr>
        <w:lastRenderedPageBreak/>
        <w:t>Engagement signals — whether the patient is acknowledging guidance or completing recommended action items.</w:t>
      </w:r>
    </w:p>
    <w:p w14:paraId="73A477E3" w14:textId="77777777" w:rsidR="00D7097F" w:rsidRDefault="00000000">
      <w:pPr>
        <w:spacing w:after="160" w:line="300" w:lineRule="auto"/>
      </w:pPr>
      <w:r>
        <w:rPr>
          <w:sz w:val="22"/>
          <w:szCs w:val="22"/>
        </w:rPr>
        <w:t xml:space="preserve">Not </w:t>
      </w:r>
      <w:proofErr w:type="gramStart"/>
      <w:r>
        <w:rPr>
          <w:sz w:val="22"/>
          <w:szCs w:val="22"/>
        </w:rPr>
        <w:t>all of</w:t>
      </w:r>
      <w:proofErr w:type="gramEnd"/>
      <w:r>
        <w:rPr>
          <w:sz w:val="22"/>
          <w:szCs w:val="22"/>
        </w:rPr>
        <w:t xml:space="preserve"> these need to exist on day one. The feature is designed to consume whatever subset of post-discharge signals is available for a given patient and improve as more sources come online, rather than requiring a single complete data source before it can run.</w:t>
      </w:r>
    </w:p>
    <w:p w14:paraId="07983A5A" w14:textId="77777777" w:rsidR="00D7097F" w:rsidRDefault="00000000">
      <w:pPr>
        <w:pStyle w:val="Heading1"/>
        <w:spacing w:before="360" w:after="160"/>
      </w:pPr>
      <w:r>
        <w:rPr>
          <w:b/>
          <w:bCs/>
          <w:color w:val="1F4E79"/>
          <w:sz w:val="30"/>
          <w:szCs w:val="30"/>
        </w:rPr>
        <w:t>4. How the Weekly Scoring Works</w:t>
      </w:r>
    </w:p>
    <w:p w14:paraId="76033DF9" w14:textId="77777777" w:rsidR="00D7097F" w:rsidRDefault="00000000">
      <w:pPr>
        <w:pStyle w:val="Heading2"/>
        <w:spacing w:before="280" w:after="120"/>
      </w:pPr>
      <w:r>
        <w:rPr>
          <w:b/>
          <w:bCs/>
          <w:color w:val="1F4E79"/>
          <w:sz w:val="24"/>
          <w:szCs w:val="24"/>
        </w:rPr>
        <w:t>4.1 Cadence</w:t>
      </w:r>
    </w:p>
    <w:p w14:paraId="756D6AE5" w14:textId="77777777" w:rsidR="00D7097F" w:rsidRDefault="00000000">
      <w:pPr>
        <w:spacing w:after="160" w:line="300" w:lineRule="auto"/>
      </w:pPr>
      <w:r>
        <w:rPr>
          <w:sz w:val="22"/>
          <w:szCs w:val="22"/>
        </w:rPr>
        <w:t>For each patient within an active post-discharge monitoring window (e.g. 30–90 days from discharge, configurable), the system recomputes a readmission risk score once per week using the most recent post-discharge data available at that time, combined with the patient's baseline discharge features.</w:t>
      </w:r>
    </w:p>
    <w:p w14:paraId="01AAD38C" w14:textId="77777777" w:rsidR="00D7097F" w:rsidRDefault="00000000">
      <w:pPr>
        <w:pStyle w:val="Heading2"/>
        <w:spacing w:before="280" w:after="120"/>
      </w:pPr>
      <w:r>
        <w:rPr>
          <w:b/>
          <w:bCs/>
          <w:color w:val="1F4E79"/>
          <w:sz w:val="24"/>
          <w:szCs w:val="24"/>
        </w:rPr>
        <w:t>4.2 Scoring approach</w:t>
      </w:r>
    </w:p>
    <w:p w14:paraId="11825B2F" w14:textId="77777777" w:rsidR="00D7097F" w:rsidRDefault="00000000">
      <w:pPr>
        <w:spacing w:after="160" w:line="300" w:lineRule="auto"/>
      </w:pPr>
      <w:r>
        <w:rPr>
          <w:sz w:val="22"/>
          <w:szCs w:val="22"/>
        </w:rPr>
        <w:t>Two complementary approaches, not mutually exclusive:</w:t>
      </w:r>
    </w:p>
    <w:p w14:paraId="50F0CBD4" w14:textId="77777777" w:rsidR="00D7097F" w:rsidRDefault="00000000">
      <w:pPr>
        <w:pStyle w:val="ListParagraph"/>
        <w:numPr>
          <w:ilvl w:val="0"/>
          <w:numId w:val="2"/>
        </w:numPr>
        <w:spacing w:after="80" w:line="280" w:lineRule="auto"/>
      </w:pPr>
      <w:r>
        <w:rPr>
          <w:sz w:val="22"/>
          <w:szCs w:val="22"/>
        </w:rPr>
        <w:t>Re-run the existing trained readmission model with an updated feature vector that blends static discharge-time features with the latest post-discharge signals (adherence, follow-up status, symptom check-ins) — producing a fresh score each week.</w:t>
      </w:r>
    </w:p>
    <w:p w14:paraId="40C865DF" w14:textId="77777777" w:rsidR="00D7097F" w:rsidRDefault="00000000">
      <w:pPr>
        <w:pStyle w:val="ListParagraph"/>
        <w:numPr>
          <w:ilvl w:val="0"/>
          <w:numId w:val="2"/>
        </w:numPr>
        <w:spacing w:after="80" w:line="280" w:lineRule="auto"/>
      </w:pPr>
      <w:r>
        <w:rPr>
          <w:sz w:val="22"/>
          <w:szCs w:val="22"/>
        </w:rPr>
        <w:t>Optionally layer a lightweight trend model on top of the resulting weekly score series itself (e.g. slope over the last 2–3 points) to detect directional movement even before it crosses a risk-band threshold.</w:t>
      </w:r>
    </w:p>
    <w:p w14:paraId="62F8FE64" w14:textId="77777777" w:rsidR="00D7097F" w:rsidRDefault="00000000">
      <w:pPr>
        <w:pStyle w:val="Heading2"/>
        <w:spacing w:before="280" w:after="120"/>
      </w:pPr>
      <w:r>
        <w:rPr>
          <w:b/>
          <w:bCs/>
          <w:color w:val="1F4E79"/>
          <w:sz w:val="24"/>
          <w:szCs w:val="24"/>
        </w:rPr>
        <w:t>4.3 Where each week's score is stored</w:t>
      </w:r>
    </w:p>
    <w:p w14:paraId="05442F21" w14:textId="77777777" w:rsidR="00D7097F" w:rsidRDefault="00000000">
      <w:pPr>
        <w:spacing w:after="160" w:line="300" w:lineRule="auto"/>
      </w:pPr>
      <w:r>
        <w:rPr>
          <w:sz w:val="22"/>
          <w:szCs w:val="22"/>
        </w:rPr>
        <w:t>Each weekly score is appended to a per-patient time series (a natural extension of the score-history concept already used for point-in-time risk), so the system always has a full trajectory — not just the latest number — to reason about.</w:t>
      </w:r>
    </w:p>
    <w:p w14:paraId="23D0AE93" w14:textId="77777777" w:rsidR="00D7097F" w:rsidRDefault="00000000">
      <w:pPr>
        <w:pStyle w:val="Heading1"/>
        <w:spacing w:before="360" w:after="160"/>
      </w:pPr>
      <w:r>
        <w:rPr>
          <w:b/>
          <w:bCs/>
          <w:color w:val="1F4E79"/>
          <w:sz w:val="30"/>
          <w:szCs w:val="30"/>
        </w:rPr>
        <w:t>5. Detecting the Trend</w:t>
      </w:r>
    </w:p>
    <w:p w14:paraId="17C60FFA" w14:textId="77777777" w:rsidR="00D7097F" w:rsidRDefault="00000000">
      <w:pPr>
        <w:spacing w:after="160" w:line="300" w:lineRule="auto"/>
      </w:pPr>
      <w:r>
        <w:rPr>
          <w:sz w:val="22"/>
          <w:szCs w:val="22"/>
        </w:rPr>
        <w:t>A single new score is not, by itself, actionable — the value of this feature is in comparing it against the patient's own recent history. Each week, after a new score is produced, the system evaluates the trend:</w:t>
      </w:r>
    </w:p>
    <w:p w14:paraId="245FA3BE" w14:textId="77777777" w:rsidR="00D7097F" w:rsidRDefault="00000000">
      <w:pPr>
        <w:pStyle w:val="ListParagraph"/>
        <w:numPr>
          <w:ilvl w:val="0"/>
          <w:numId w:val="2"/>
        </w:numPr>
        <w:spacing w:after="80" w:line="280" w:lineRule="auto"/>
      </w:pPr>
      <w:r>
        <w:rPr>
          <w:sz w:val="22"/>
          <w:szCs w:val="22"/>
        </w:rPr>
        <w:t>Increasing: this week's score is meaningfully higher than the recent trailing average or previous week(s) — risk is worsening.</w:t>
      </w:r>
    </w:p>
    <w:p w14:paraId="0419732A" w14:textId="77777777" w:rsidR="00D7097F" w:rsidRDefault="00000000">
      <w:pPr>
        <w:pStyle w:val="ListParagraph"/>
        <w:numPr>
          <w:ilvl w:val="0"/>
          <w:numId w:val="2"/>
        </w:numPr>
        <w:spacing w:after="80" w:line="280" w:lineRule="auto"/>
      </w:pPr>
      <w:r>
        <w:rPr>
          <w:sz w:val="22"/>
          <w:szCs w:val="22"/>
        </w:rPr>
        <w:t>Decreasing: this week's score is meaningfully lower — recovery is on track.</w:t>
      </w:r>
    </w:p>
    <w:p w14:paraId="5F63BC24" w14:textId="77777777" w:rsidR="00D7097F" w:rsidRDefault="00000000">
      <w:pPr>
        <w:pStyle w:val="ListParagraph"/>
        <w:numPr>
          <w:ilvl w:val="0"/>
          <w:numId w:val="2"/>
        </w:numPr>
        <w:spacing w:after="80" w:line="280" w:lineRule="auto"/>
      </w:pPr>
      <w:r>
        <w:rPr>
          <w:sz w:val="22"/>
          <w:szCs w:val="22"/>
        </w:rPr>
        <w:t>Stable: change is within normal week-to-week noise — no action needed.</w:t>
      </w:r>
    </w:p>
    <w:p w14:paraId="10359F87" w14:textId="77777777" w:rsidR="00D7097F" w:rsidRDefault="00000000">
      <w:pPr>
        <w:spacing w:after="160" w:line="300" w:lineRule="auto"/>
      </w:pPr>
      <w:r>
        <w:rPr>
          <w:sz w:val="22"/>
          <w:szCs w:val="22"/>
        </w:rPr>
        <w:t>“Meaningfully” should be defined as an explicit, documented threshold (e.g. a point-change magnitude or a risk-band crossing), the same way the existing system already defines a score-jump alert threshold for point-in-time changes — this feature reuses that pattern but applies it across a rolling weekly series instead of a single before/after comparison.</w:t>
      </w:r>
    </w:p>
    <w:p w14:paraId="7435A77A" w14:textId="77777777" w:rsidR="00D7097F" w:rsidRDefault="00000000">
      <w:pPr>
        <w:pStyle w:val="Heading1"/>
        <w:spacing w:before="360" w:after="160"/>
      </w:pPr>
      <w:r>
        <w:rPr>
          <w:b/>
          <w:bCs/>
          <w:color w:val="1F4E79"/>
          <w:sz w:val="30"/>
          <w:szCs w:val="30"/>
        </w:rPr>
        <w:t>6. Actions Triggered by the Trend</w:t>
      </w:r>
    </w:p>
    <w:p w14:paraId="4966DE51" w14:textId="77777777" w:rsidR="00D7097F" w:rsidRDefault="00000000">
      <w:pPr>
        <w:spacing w:after="160" w:line="300" w:lineRule="auto"/>
      </w:pPr>
      <w:r>
        <w:rPr>
          <w:sz w:val="22"/>
          <w:szCs w:val="22"/>
        </w:rPr>
        <w:lastRenderedPageBreak/>
        <w:t>The trend direction — not just the raw score — is what should drive follow-up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7097F" w14:paraId="694DF3AB" w14:textId="77777777">
        <w:tblPrEx>
          <w:tblCellMar>
            <w:top w:w="0" w:type="dxa"/>
            <w:bottom w:w="0" w:type="dxa"/>
          </w:tblCellMar>
        </w:tblPrEx>
        <w:trPr>
          <w:tblHeader/>
        </w:trPr>
        <w:tc>
          <w:tcPr>
            <w:tcW w:w="2400" w:type="dxa"/>
            <w:shd w:val="clear" w:color="auto" w:fill="1F4E79"/>
            <w:tcMar>
              <w:top w:w="100" w:type="dxa"/>
              <w:left w:w="120" w:type="dxa"/>
              <w:bottom w:w="100" w:type="dxa"/>
              <w:right w:w="120" w:type="dxa"/>
            </w:tcMar>
          </w:tcPr>
          <w:p w14:paraId="0A6BB1F4" w14:textId="77777777" w:rsidR="00D7097F" w:rsidRDefault="00000000">
            <w:r>
              <w:rPr>
                <w:b/>
                <w:bCs/>
                <w:color w:val="FFFFFF"/>
              </w:rPr>
              <w:t>Trend</w:t>
            </w:r>
          </w:p>
        </w:tc>
        <w:tc>
          <w:tcPr>
            <w:tcW w:w="3480" w:type="dxa"/>
            <w:shd w:val="clear" w:color="auto" w:fill="1F4E79"/>
            <w:tcMar>
              <w:top w:w="100" w:type="dxa"/>
              <w:left w:w="120" w:type="dxa"/>
              <w:bottom w:w="100" w:type="dxa"/>
              <w:right w:w="120" w:type="dxa"/>
            </w:tcMar>
          </w:tcPr>
          <w:p w14:paraId="6096A007" w14:textId="77777777" w:rsidR="00D7097F" w:rsidRDefault="00000000">
            <w:r>
              <w:rPr>
                <w:b/>
                <w:bCs/>
                <w:color w:val="FFFFFF"/>
              </w:rPr>
              <w:t>Signal</w:t>
            </w:r>
          </w:p>
        </w:tc>
        <w:tc>
          <w:tcPr>
            <w:tcW w:w="3480" w:type="dxa"/>
            <w:shd w:val="clear" w:color="auto" w:fill="1F4E79"/>
            <w:tcMar>
              <w:top w:w="100" w:type="dxa"/>
              <w:left w:w="120" w:type="dxa"/>
              <w:bottom w:w="100" w:type="dxa"/>
              <w:right w:w="120" w:type="dxa"/>
            </w:tcMar>
          </w:tcPr>
          <w:p w14:paraId="0D8603D6" w14:textId="77777777" w:rsidR="00D7097F" w:rsidRDefault="00000000">
            <w:r>
              <w:rPr>
                <w:b/>
                <w:bCs/>
                <w:color w:val="FFFFFF"/>
              </w:rPr>
              <w:t>Suggested Action</w:t>
            </w:r>
          </w:p>
        </w:tc>
      </w:tr>
      <w:tr w:rsidR="00D7097F" w14:paraId="6A26F2E9" w14:textId="77777777">
        <w:tblPrEx>
          <w:tblCellMar>
            <w:top w:w="0" w:type="dxa"/>
            <w:bottom w:w="0" w:type="dxa"/>
          </w:tblCellMar>
        </w:tblPrEx>
        <w:tc>
          <w:tcPr>
            <w:tcW w:w="2400" w:type="dxa"/>
            <w:tcMar>
              <w:top w:w="100" w:type="dxa"/>
              <w:left w:w="120" w:type="dxa"/>
              <w:bottom w:w="100" w:type="dxa"/>
              <w:right w:w="120" w:type="dxa"/>
            </w:tcMar>
          </w:tcPr>
          <w:p w14:paraId="6E89D989" w14:textId="77777777" w:rsidR="00D7097F" w:rsidRDefault="00000000">
            <w:r>
              <w:rPr>
                <w:color w:val="000000"/>
              </w:rPr>
              <w:t>Increasing</w:t>
            </w:r>
          </w:p>
        </w:tc>
        <w:tc>
          <w:tcPr>
            <w:tcW w:w="3480" w:type="dxa"/>
            <w:tcMar>
              <w:top w:w="100" w:type="dxa"/>
              <w:left w:w="120" w:type="dxa"/>
              <w:bottom w:w="100" w:type="dxa"/>
              <w:right w:w="120" w:type="dxa"/>
            </w:tcMar>
          </w:tcPr>
          <w:p w14:paraId="396B449F" w14:textId="77777777" w:rsidR="00D7097F" w:rsidRDefault="00000000">
            <w:r>
              <w:rPr>
                <w:color w:val="000000"/>
              </w:rPr>
              <w:t xml:space="preserve">Risk is trending up over consecutive </w:t>
            </w:r>
            <w:proofErr w:type="gramStart"/>
            <w:r>
              <w:rPr>
                <w:color w:val="000000"/>
              </w:rPr>
              <w:t>weeks, or</w:t>
            </w:r>
            <w:proofErr w:type="gramEnd"/>
            <w:r>
              <w:rPr>
                <w:color w:val="000000"/>
              </w:rPr>
              <w:t xml:space="preserve"> has crossed into a higher risk band.</w:t>
            </w:r>
          </w:p>
        </w:tc>
        <w:tc>
          <w:tcPr>
            <w:tcW w:w="3480" w:type="dxa"/>
            <w:tcMar>
              <w:top w:w="100" w:type="dxa"/>
              <w:left w:w="120" w:type="dxa"/>
              <w:bottom w:w="100" w:type="dxa"/>
              <w:right w:w="120" w:type="dxa"/>
            </w:tcMar>
          </w:tcPr>
          <w:p w14:paraId="63345828" w14:textId="77777777" w:rsidR="00D7097F" w:rsidRDefault="00000000">
            <w:r>
              <w:rPr>
                <w:color w:val="000000"/>
              </w:rPr>
              <w:t>Auto-generate an alert to the assigned care coordinator; prioritize outreach/follow-up call; review recent adherence and appointment data for a root cause.</w:t>
            </w:r>
          </w:p>
        </w:tc>
      </w:tr>
      <w:tr w:rsidR="00D7097F" w14:paraId="7ADE7A5C" w14:textId="77777777">
        <w:tblPrEx>
          <w:tblCellMar>
            <w:top w:w="0" w:type="dxa"/>
            <w:bottom w:w="0" w:type="dxa"/>
          </w:tblCellMar>
        </w:tblPrEx>
        <w:tc>
          <w:tcPr>
            <w:tcW w:w="2400" w:type="dxa"/>
            <w:tcMar>
              <w:top w:w="100" w:type="dxa"/>
              <w:left w:w="120" w:type="dxa"/>
              <w:bottom w:w="100" w:type="dxa"/>
              <w:right w:w="120" w:type="dxa"/>
            </w:tcMar>
          </w:tcPr>
          <w:p w14:paraId="7341C290" w14:textId="77777777" w:rsidR="00D7097F" w:rsidRDefault="00000000">
            <w:r>
              <w:rPr>
                <w:color w:val="000000"/>
              </w:rPr>
              <w:t>Sharp increase</w:t>
            </w:r>
          </w:p>
        </w:tc>
        <w:tc>
          <w:tcPr>
            <w:tcW w:w="3480" w:type="dxa"/>
            <w:tcMar>
              <w:top w:w="100" w:type="dxa"/>
              <w:left w:w="120" w:type="dxa"/>
              <w:bottom w:w="100" w:type="dxa"/>
              <w:right w:w="120" w:type="dxa"/>
            </w:tcMar>
          </w:tcPr>
          <w:p w14:paraId="3CD1FA0F" w14:textId="77777777" w:rsidR="00D7097F" w:rsidRDefault="00000000">
            <w:r>
              <w:rPr>
                <w:color w:val="000000"/>
              </w:rPr>
              <w:t>A large single-week jump, similar in spirit to the existing point-in-time score-jump alert.</w:t>
            </w:r>
          </w:p>
        </w:tc>
        <w:tc>
          <w:tcPr>
            <w:tcW w:w="3480" w:type="dxa"/>
            <w:tcMar>
              <w:top w:w="100" w:type="dxa"/>
              <w:left w:w="120" w:type="dxa"/>
              <w:bottom w:w="100" w:type="dxa"/>
              <w:right w:w="120" w:type="dxa"/>
            </w:tcMar>
          </w:tcPr>
          <w:p w14:paraId="5E72F2EE" w14:textId="77777777" w:rsidR="00D7097F" w:rsidRDefault="00000000">
            <w:r>
              <w:rPr>
                <w:color w:val="000000"/>
              </w:rPr>
              <w:t>Escalate immediately — same urgency tier as a current in-hospital high-risk alert.</w:t>
            </w:r>
          </w:p>
        </w:tc>
      </w:tr>
      <w:tr w:rsidR="00D7097F" w14:paraId="2FDB32DD" w14:textId="77777777">
        <w:tblPrEx>
          <w:tblCellMar>
            <w:top w:w="0" w:type="dxa"/>
            <w:bottom w:w="0" w:type="dxa"/>
          </w:tblCellMar>
        </w:tblPrEx>
        <w:tc>
          <w:tcPr>
            <w:tcW w:w="2400" w:type="dxa"/>
            <w:tcMar>
              <w:top w:w="100" w:type="dxa"/>
              <w:left w:w="120" w:type="dxa"/>
              <w:bottom w:w="100" w:type="dxa"/>
              <w:right w:w="120" w:type="dxa"/>
            </w:tcMar>
          </w:tcPr>
          <w:p w14:paraId="44091CD3" w14:textId="77777777" w:rsidR="00D7097F" w:rsidRDefault="00000000">
            <w:r>
              <w:rPr>
                <w:color w:val="000000"/>
              </w:rPr>
              <w:t>Decreasing</w:t>
            </w:r>
          </w:p>
        </w:tc>
        <w:tc>
          <w:tcPr>
            <w:tcW w:w="3480" w:type="dxa"/>
            <w:tcMar>
              <w:top w:w="100" w:type="dxa"/>
              <w:left w:w="120" w:type="dxa"/>
              <w:bottom w:w="100" w:type="dxa"/>
              <w:right w:w="120" w:type="dxa"/>
            </w:tcMar>
          </w:tcPr>
          <w:p w14:paraId="2CA398CE" w14:textId="77777777" w:rsidR="00D7097F" w:rsidRDefault="00000000">
            <w:r>
              <w:rPr>
                <w:color w:val="000000"/>
              </w:rPr>
              <w:t>Score is falling week over week.</w:t>
            </w:r>
          </w:p>
        </w:tc>
        <w:tc>
          <w:tcPr>
            <w:tcW w:w="3480" w:type="dxa"/>
            <w:tcMar>
              <w:top w:w="100" w:type="dxa"/>
              <w:left w:w="120" w:type="dxa"/>
              <w:bottom w:w="100" w:type="dxa"/>
              <w:right w:w="120" w:type="dxa"/>
            </w:tcMar>
          </w:tcPr>
          <w:p w14:paraId="1B29DB9F" w14:textId="77777777" w:rsidR="00D7097F" w:rsidRDefault="00000000">
            <w:r>
              <w:rPr>
                <w:color w:val="000000"/>
              </w:rPr>
              <w:t>No urgent action; log positive trend; consider reducing check-in frequency as recovery stabilizes.</w:t>
            </w:r>
          </w:p>
        </w:tc>
      </w:tr>
      <w:tr w:rsidR="00D7097F" w14:paraId="5A456074" w14:textId="77777777">
        <w:tblPrEx>
          <w:tblCellMar>
            <w:top w:w="0" w:type="dxa"/>
            <w:bottom w:w="0" w:type="dxa"/>
          </w:tblCellMar>
        </w:tblPrEx>
        <w:tc>
          <w:tcPr>
            <w:tcW w:w="2400" w:type="dxa"/>
            <w:tcMar>
              <w:top w:w="100" w:type="dxa"/>
              <w:left w:w="120" w:type="dxa"/>
              <w:bottom w:w="100" w:type="dxa"/>
              <w:right w:w="120" w:type="dxa"/>
            </w:tcMar>
          </w:tcPr>
          <w:p w14:paraId="073B026F" w14:textId="77777777" w:rsidR="00D7097F" w:rsidRDefault="00000000">
            <w:r>
              <w:rPr>
                <w:color w:val="000000"/>
              </w:rPr>
              <w:t>Stable / flat</w:t>
            </w:r>
          </w:p>
        </w:tc>
        <w:tc>
          <w:tcPr>
            <w:tcW w:w="3480" w:type="dxa"/>
            <w:tcMar>
              <w:top w:w="100" w:type="dxa"/>
              <w:left w:w="120" w:type="dxa"/>
              <w:bottom w:w="100" w:type="dxa"/>
              <w:right w:w="120" w:type="dxa"/>
            </w:tcMar>
          </w:tcPr>
          <w:p w14:paraId="7DD90E00" w14:textId="77777777" w:rsidR="00D7097F" w:rsidRDefault="00000000">
            <w:r>
              <w:rPr>
                <w:color w:val="000000"/>
              </w:rPr>
              <w:t>No meaningful week-to-week change.</w:t>
            </w:r>
          </w:p>
        </w:tc>
        <w:tc>
          <w:tcPr>
            <w:tcW w:w="3480" w:type="dxa"/>
            <w:tcMar>
              <w:top w:w="100" w:type="dxa"/>
              <w:left w:w="120" w:type="dxa"/>
              <w:bottom w:w="100" w:type="dxa"/>
              <w:right w:w="120" w:type="dxa"/>
            </w:tcMar>
          </w:tcPr>
          <w:p w14:paraId="0AFB0040" w14:textId="77777777" w:rsidR="00D7097F" w:rsidRDefault="00000000">
            <w:r>
              <w:rPr>
                <w:color w:val="000000"/>
              </w:rPr>
              <w:t>Continue routine weekly monitoring; no new action.</w:t>
            </w:r>
          </w:p>
        </w:tc>
      </w:tr>
      <w:tr w:rsidR="00D7097F" w14:paraId="5A6B1F8F" w14:textId="77777777">
        <w:tblPrEx>
          <w:tblCellMar>
            <w:top w:w="0" w:type="dxa"/>
            <w:bottom w:w="0" w:type="dxa"/>
          </w:tblCellMar>
        </w:tblPrEx>
        <w:tc>
          <w:tcPr>
            <w:tcW w:w="2400" w:type="dxa"/>
            <w:tcMar>
              <w:top w:w="100" w:type="dxa"/>
              <w:left w:w="120" w:type="dxa"/>
              <w:bottom w:w="100" w:type="dxa"/>
              <w:right w:w="120" w:type="dxa"/>
            </w:tcMar>
          </w:tcPr>
          <w:p w14:paraId="32922DBD" w14:textId="77777777" w:rsidR="00D7097F" w:rsidRDefault="00000000">
            <w:r>
              <w:rPr>
                <w:color w:val="000000"/>
              </w:rPr>
              <w:t>Monitoring window ends</w:t>
            </w:r>
          </w:p>
        </w:tc>
        <w:tc>
          <w:tcPr>
            <w:tcW w:w="3480" w:type="dxa"/>
            <w:tcMar>
              <w:top w:w="100" w:type="dxa"/>
              <w:left w:w="120" w:type="dxa"/>
              <w:bottom w:w="100" w:type="dxa"/>
              <w:right w:w="120" w:type="dxa"/>
            </w:tcMar>
          </w:tcPr>
          <w:p w14:paraId="2CF17F35" w14:textId="77777777" w:rsidR="00D7097F" w:rsidRDefault="00000000">
            <w:r>
              <w:rPr>
                <w:color w:val="000000"/>
              </w:rPr>
              <w:t>Patient reaches the end of the post-discharge window (e.g. day 90) without escalation.</w:t>
            </w:r>
          </w:p>
        </w:tc>
        <w:tc>
          <w:tcPr>
            <w:tcW w:w="3480" w:type="dxa"/>
            <w:tcMar>
              <w:top w:w="100" w:type="dxa"/>
              <w:left w:w="120" w:type="dxa"/>
              <w:bottom w:w="100" w:type="dxa"/>
              <w:right w:w="120" w:type="dxa"/>
            </w:tcMar>
          </w:tcPr>
          <w:p w14:paraId="47A9DC09" w14:textId="77777777" w:rsidR="00D7097F" w:rsidRDefault="00000000">
            <w:r>
              <w:rPr>
                <w:color w:val="000000"/>
              </w:rPr>
              <w:t>Close out monitoring; archive the trend series as a record of a successful recovery period.</w:t>
            </w:r>
          </w:p>
        </w:tc>
      </w:tr>
    </w:tbl>
    <w:p w14:paraId="5AA68611" w14:textId="77777777" w:rsidR="00D7097F" w:rsidRDefault="00D7097F">
      <w:pPr>
        <w:spacing w:before="240" w:after="160"/>
      </w:pPr>
    </w:p>
    <w:p w14:paraId="41722134" w14:textId="77777777" w:rsidR="00D7097F" w:rsidRDefault="00000000">
      <w:pPr>
        <w:spacing w:after="160" w:line="300" w:lineRule="auto"/>
      </w:pPr>
      <w:r>
        <w:rPr>
          <w:sz w:val="22"/>
          <w:szCs w:val="22"/>
        </w:rPr>
        <w:t>Every trend-triggered action should be visible to the care team through the same channels already used for risk alerts today, so a rising post-discharge trend surfaces the same way an in-hospital risk jump does — rather than living in a separate, easy-to-miss view.</w:t>
      </w:r>
    </w:p>
    <w:p w14:paraId="5270985D" w14:textId="77777777" w:rsidR="00D7097F" w:rsidRDefault="00000000">
      <w:pPr>
        <w:pStyle w:val="Heading1"/>
        <w:spacing w:before="360" w:after="160"/>
      </w:pPr>
      <w:r>
        <w:rPr>
          <w:b/>
          <w:bCs/>
          <w:color w:val="1F4E79"/>
          <w:sz w:val="30"/>
          <w:szCs w:val="30"/>
        </w:rPr>
        <w:t>7. What This Looks Like End to End</w:t>
      </w:r>
    </w:p>
    <w:p w14:paraId="449204C5" w14:textId="77777777" w:rsidR="00D7097F" w:rsidRDefault="00000000">
      <w:pPr>
        <w:pStyle w:val="ListParagraph"/>
        <w:numPr>
          <w:ilvl w:val="0"/>
          <w:numId w:val="3"/>
        </w:numPr>
        <w:spacing w:after="80" w:line="280" w:lineRule="auto"/>
      </w:pPr>
      <w:r>
        <w:rPr>
          <w:sz w:val="22"/>
          <w:szCs w:val="22"/>
        </w:rPr>
        <w:t>Patient is discharged and enters a post-discharge monitoring window.</w:t>
      </w:r>
    </w:p>
    <w:p w14:paraId="30CDE35E" w14:textId="77777777" w:rsidR="00D7097F" w:rsidRDefault="00000000">
      <w:pPr>
        <w:pStyle w:val="ListParagraph"/>
        <w:numPr>
          <w:ilvl w:val="0"/>
          <w:numId w:val="3"/>
        </w:numPr>
        <w:spacing w:after="80" w:line="280" w:lineRule="auto"/>
      </w:pPr>
      <w:r>
        <w:rPr>
          <w:sz w:val="22"/>
          <w:szCs w:val="22"/>
        </w:rPr>
        <w:t>Each week, the system collects whatever post-discharge signals are available for that patient (follow-up attendance, adherence, symptom check-ins, interim visits, coordinator activity).</w:t>
      </w:r>
    </w:p>
    <w:p w14:paraId="659852E8" w14:textId="77777777" w:rsidR="00D7097F" w:rsidRDefault="00000000">
      <w:pPr>
        <w:pStyle w:val="ListParagraph"/>
        <w:numPr>
          <w:ilvl w:val="0"/>
          <w:numId w:val="3"/>
        </w:numPr>
        <w:spacing w:after="80" w:line="280" w:lineRule="auto"/>
      </w:pPr>
      <w:r>
        <w:rPr>
          <w:sz w:val="22"/>
          <w:szCs w:val="22"/>
        </w:rPr>
        <w:t>The readmission model is re-scored using the updated feature set; the new score is appended to the patient's weekly trend series.</w:t>
      </w:r>
    </w:p>
    <w:p w14:paraId="1FB16C3E" w14:textId="77777777" w:rsidR="00D7097F" w:rsidRDefault="00000000">
      <w:pPr>
        <w:pStyle w:val="ListParagraph"/>
        <w:numPr>
          <w:ilvl w:val="0"/>
          <w:numId w:val="3"/>
        </w:numPr>
        <w:spacing w:after="80" w:line="280" w:lineRule="auto"/>
      </w:pPr>
      <w:r>
        <w:rPr>
          <w:sz w:val="22"/>
          <w:szCs w:val="22"/>
        </w:rPr>
        <w:t>The system compares the new score against the patient's own recent trend, not just a fixed population threshold.</w:t>
      </w:r>
    </w:p>
    <w:p w14:paraId="749257D1" w14:textId="77777777" w:rsidR="00D7097F" w:rsidRDefault="00000000">
      <w:pPr>
        <w:pStyle w:val="ListParagraph"/>
        <w:numPr>
          <w:ilvl w:val="0"/>
          <w:numId w:val="3"/>
        </w:numPr>
        <w:spacing w:after="80" w:line="280" w:lineRule="auto"/>
      </w:pPr>
      <w:r>
        <w:rPr>
          <w:sz w:val="22"/>
          <w:szCs w:val="22"/>
        </w:rPr>
        <w:t>If the trend is increasing (or spikes sharply), an alert is raised and routed to the assigned care coordinator with the context of why the score moved.</w:t>
      </w:r>
    </w:p>
    <w:p w14:paraId="2D3FF034" w14:textId="77777777" w:rsidR="00D7097F" w:rsidRDefault="00000000">
      <w:pPr>
        <w:pStyle w:val="ListParagraph"/>
        <w:numPr>
          <w:ilvl w:val="0"/>
          <w:numId w:val="3"/>
        </w:numPr>
        <w:spacing w:after="80" w:line="280" w:lineRule="auto"/>
      </w:pPr>
      <w:r>
        <w:rPr>
          <w:sz w:val="22"/>
          <w:szCs w:val="22"/>
        </w:rPr>
        <w:t>If the trend is decreasing or stable, the patient continues routine weekly monitoring with no additional action.</w:t>
      </w:r>
    </w:p>
    <w:p w14:paraId="08EEB75D" w14:textId="77777777" w:rsidR="00D7097F" w:rsidRDefault="00000000">
      <w:pPr>
        <w:pStyle w:val="ListParagraph"/>
        <w:numPr>
          <w:ilvl w:val="0"/>
          <w:numId w:val="3"/>
        </w:numPr>
        <w:spacing w:after="80" w:line="280" w:lineRule="auto"/>
      </w:pPr>
      <w:r>
        <w:rPr>
          <w:sz w:val="22"/>
          <w:szCs w:val="22"/>
        </w:rPr>
        <w:t>The full weekly trajectory remains visible on the patient's record for as long as the monitoring window is open, giving the care team a recovery curve rather than a single number.</w:t>
      </w:r>
    </w:p>
    <w:p w14:paraId="48FD0E4D" w14:textId="77777777" w:rsidR="00D7097F" w:rsidRDefault="00000000">
      <w:pPr>
        <w:pStyle w:val="Heading1"/>
        <w:spacing w:before="360" w:after="160"/>
      </w:pPr>
      <w:r>
        <w:rPr>
          <w:b/>
          <w:bCs/>
          <w:color w:val="1F4E79"/>
          <w:sz w:val="30"/>
          <w:szCs w:val="30"/>
        </w:rPr>
        <w:t>8. Why Trend, Not Just Score</w:t>
      </w:r>
    </w:p>
    <w:p w14:paraId="2F1A7D8F" w14:textId="77777777" w:rsidR="00D7097F" w:rsidRDefault="00000000">
      <w:pPr>
        <w:spacing w:after="160" w:line="300" w:lineRule="auto"/>
      </w:pPr>
      <w:r>
        <w:rPr>
          <w:sz w:val="22"/>
          <w:szCs w:val="22"/>
        </w:rPr>
        <w:lastRenderedPageBreak/>
        <w:t xml:space="preserve">A raw weekly score answers “how risky is this patient right now?” A trend answers the more clinically useful question: “is this patient getting better or worse?” Two patients can land on the same absolute score </w:t>
      </w:r>
      <w:proofErr w:type="gramStart"/>
      <w:r>
        <w:rPr>
          <w:sz w:val="22"/>
          <w:szCs w:val="22"/>
        </w:rPr>
        <w:t>in a given</w:t>
      </w:r>
      <w:proofErr w:type="gramEnd"/>
      <w:r>
        <w:rPr>
          <w:sz w:val="22"/>
          <w:szCs w:val="22"/>
        </w:rPr>
        <w:t xml:space="preserve"> week and warrant very different responses — one arrived there declining from a much lower baseline (early warning sign), the other arrived there improving from a much higher one (recovery in progress). Comparing each new score against the patient's own history, rather than treating it as an isolated data point, is what lets the system distinguish those two cases and act on the one that </w:t>
      </w:r>
      <w:proofErr w:type="gramStart"/>
      <w:r>
        <w:rPr>
          <w:sz w:val="22"/>
          <w:szCs w:val="22"/>
        </w:rPr>
        <w:t>actually needs</w:t>
      </w:r>
      <w:proofErr w:type="gramEnd"/>
      <w:r>
        <w:rPr>
          <w:sz w:val="22"/>
          <w:szCs w:val="22"/>
        </w:rPr>
        <w:t xml:space="preserve"> attention.</w:t>
      </w:r>
    </w:p>
    <w:p w14:paraId="43C321A0" w14:textId="1DE563FA" w:rsidR="00D7097F" w:rsidRDefault="00D7097F" w:rsidP="00AB7AE7">
      <w:pPr>
        <w:spacing w:after="80" w:line="280" w:lineRule="auto"/>
      </w:pPr>
    </w:p>
    <w:sectPr w:rsidR="00D7097F">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F4123" w14:textId="77777777" w:rsidR="0091101C" w:rsidRDefault="0091101C">
      <w:r>
        <w:separator/>
      </w:r>
    </w:p>
  </w:endnote>
  <w:endnote w:type="continuationSeparator" w:id="0">
    <w:p w14:paraId="41AD40BE" w14:textId="77777777" w:rsidR="0091101C" w:rsidRDefault="0091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873C" w14:textId="77777777" w:rsidR="00D7097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B7AE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B7AE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78259" w14:textId="77777777" w:rsidR="0091101C" w:rsidRDefault="0091101C">
      <w:r>
        <w:separator/>
      </w:r>
    </w:p>
  </w:footnote>
  <w:footnote w:type="continuationSeparator" w:id="0">
    <w:p w14:paraId="04A1758C" w14:textId="77777777" w:rsidR="0091101C" w:rsidRDefault="00911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DF26" w14:textId="77777777" w:rsidR="00D7097F" w:rsidRDefault="00000000">
    <w:pPr>
      <w:jc w:val="right"/>
    </w:pPr>
    <w:proofErr w:type="spellStart"/>
    <w:r>
      <w:rPr>
        <w:color w:val="595959"/>
        <w:sz w:val="16"/>
        <w:szCs w:val="16"/>
      </w:rPr>
      <w:t>Preventra</w:t>
    </w:r>
    <w:proofErr w:type="spellEnd"/>
    <w:r>
      <w:rPr>
        <w:color w:val="595959"/>
        <w:sz w:val="16"/>
        <w:szCs w:val="16"/>
      </w:rPr>
      <w:t xml:space="preserve"> — Post-Discharge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E1A"/>
    <w:multiLevelType w:val="hybridMultilevel"/>
    <w:tmpl w:val="F08CCC94"/>
    <w:lvl w:ilvl="0" w:tplc="C3CA9F2C">
      <w:start w:val="1"/>
      <w:numFmt w:val="decimal"/>
      <w:lvlText w:val="%1."/>
      <w:lvlJc w:val="left"/>
      <w:pPr>
        <w:ind w:left="460" w:hanging="260"/>
      </w:pPr>
    </w:lvl>
    <w:lvl w:ilvl="1" w:tplc="E446D3F8">
      <w:numFmt w:val="decimal"/>
      <w:lvlText w:val=""/>
      <w:lvlJc w:val="left"/>
    </w:lvl>
    <w:lvl w:ilvl="2" w:tplc="66B80CB6">
      <w:numFmt w:val="decimal"/>
      <w:lvlText w:val=""/>
      <w:lvlJc w:val="left"/>
    </w:lvl>
    <w:lvl w:ilvl="3" w:tplc="E4621308">
      <w:numFmt w:val="decimal"/>
      <w:lvlText w:val=""/>
      <w:lvlJc w:val="left"/>
    </w:lvl>
    <w:lvl w:ilvl="4" w:tplc="74BA6A1A">
      <w:numFmt w:val="decimal"/>
      <w:lvlText w:val=""/>
      <w:lvlJc w:val="left"/>
    </w:lvl>
    <w:lvl w:ilvl="5" w:tplc="04C2E0B6">
      <w:numFmt w:val="decimal"/>
      <w:lvlText w:val=""/>
      <w:lvlJc w:val="left"/>
    </w:lvl>
    <w:lvl w:ilvl="6" w:tplc="499A0C56">
      <w:numFmt w:val="decimal"/>
      <w:lvlText w:val=""/>
      <w:lvlJc w:val="left"/>
    </w:lvl>
    <w:lvl w:ilvl="7" w:tplc="81E46F96">
      <w:numFmt w:val="decimal"/>
      <w:lvlText w:val=""/>
      <w:lvlJc w:val="left"/>
    </w:lvl>
    <w:lvl w:ilvl="8" w:tplc="4A589C12">
      <w:numFmt w:val="decimal"/>
      <w:lvlText w:val=""/>
      <w:lvlJc w:val="left"/>
    </w:lvl>
  </w:abstractNum>
  <w:abstractNum w:abstractNumId="1" w15:restartNumberingAfterBreak="0">
    <w:nsid w:val="3B416260"/>
    <w:multiLevelType w:val="hybridMultilevel"/>
    <w:tmpl w:val="92542686"/>
    <w:lvl w:ilvl="0" w:tplc="2D72C492">
      <w:start w:val="1"/>
      <w:numFmt w:val="bullet"/>
      <w:lvlText w:val="•"/>
      <w:lvlJc w:val="left"/>
      <w:pPr>
        <w:ind w:left="460" w:hanging="260"/>
      </w:pPr>
    </w:lvl>
    <w:lvl w:ilvl="1" w:tplc="988EE4AC">
      <w:start w:val="1"/>
      <w:numFmt w:val="bullet"/>
      <w:lvlText w:val="◦"/>
      <w:lvlJc w:val="left"/>
      <w:pPr>
        <w:ind w:left="820" w:hanging="260"/>
      </w:pPr>
    </w:lvl>
    <w:lvl w:ilvl="2" w:tplc="5A281724">
      <w:numFmt w:val="decimal"/>
      <w:lvlText w:val=""/>
      <w:lvlJc w:val="left"/>
    </w:lvl>
    <w:lvl w:ilvl="3" w:tplc="10A84B18">
      <w:numFmt w:val="decimal"/>
      <w:lvlText w:val=""/>
      <w:lvlJc w:val="left"/>
    </w:lvl>
    <w:lvl w:ilvl="4" w:tplc="24E48584">
      <w:numFmt w:val="decimal"/>
      <w:lvlText w:val=""/>
      <w:lvlJc w:val="left"/>
    </w:lvl>
    <w:lvl w:ilvl="5" w:tplc="88A00D94">
      <w:numFmt w:val="decimal"/>
      <w:lvlText w:val=""/>
      <w:lvlJc w:val="left"/>
    </w:lvl>
    <w:lvl w:ilvl="6" w:tplc="2F2AA980">
      <w:numFmt w:val="decimal"/>
      <w:lvlText w:val=""/>
      <w:lvlJc w:val="left"/>
    </w:lvl>
    <w:lvl w:ilvl="7" w:tplc="01B27DB8">
      <w:numFmt w:val="decimal"/>
      <w:lvlText w:val=""/>
      <w:lvlJc w:val="left"/>
    </w:lvl>
    <w:lvl w:ilvl="8" w:tplc="8DD48C92">
      <w:numFmt w:val="decimal"/>
      <w:lvlText w:val=""/>
      <w:lvlJc w:val="left"/>
    </w:lvl>
  </w:abstractNum>
  <w:abstractNum w:abstractNumId="2" w15:restartNumberingAfterBreak="0">
    <w:nsid w:val="40360696"/>
    <w:multiLevelType w:val="hybridMultilevel"/>
    <w:tmpl w:val="8C4CD72C"/>
    <w:lvl w:ilvl="0" w:tplc="308CCE1E">
      <w:start w:val="1"/>
      <w:numFmt w:val="bullet"/>
      <w:lvlText w:val="●"/>
      <w:lvlJc w:val="left"/>
      <w:pPr>
        <w:ind w:left="720" w:hanging="360"/>
      </w:pPr>
    </w:lvl>
    <w:lvl w:ilvl="1" w:tplc="F7C87C7E">
      <w:start w:val="1"/>
      <w:numFmt w:val="bullet"/>
      <w:lvlText w:val="○"/>
      <w:lvlJc w:val="left"/>
      <w:pPr>
        <w:ind w:left="1440" w:hanging="360"/>
      </w:pPr>
    </w:lvl>
    <w:lvl w:ilvl="2" w:tplc="7E4214B2">
      <w:start w:val="1"/>
      <w:numFmt w:val="bullet"/>
      <w:lvlText w:val="■"/>
      <w:lvlJc w:val="left"/>
      <w:pPr>
        <w:ind w:left="2160" w:hanging="360"/>
      </w:pPr>
    </w:lvl>
    <w:lvl w:ilvl="3" w:tplc="57D03A80">
      <w:start w:val="1"/>
      <w:numFmt w:val="bullet"/>
      <w:lvlText w:val="●"/>
      <w:lvlJc w:val="left"/>
      <w:pPr>
        <w:ind w:left="2880" w:hanging="360"/>
      </w:pPr>
    </w:lvl>
    <w:lvl w:ilvl="4" w:tplc="9710D728">
      <w:start w:val="1"/>
      <w:numFmt w:val="bullet"/>
      <w:lvlText w:val="○"/>
      <w:lvlJc w:val="left"/>
      <w:pPr>
        <w:ind w:left="3600" w:hanging="360"/>
      </w:pPr>
    </w:lvl>
    <w:lvl w:ilvl="5" w:tplc="D110FF0A">
      <w:start w:val="1"/>
      <w:numFmt w:val="bullet"/>
      <w:lvlText w:val="■"/>
      <w:lvlJc w:val="left"/>
      <w:pPr>
        <w:ind w:left="4320" w:hanging="360"/>
      </w:pPr>
    </w:lvl>
    <w:lvl w:ilvl="6" w:tplc="E9D403D2">
      <w:start w:val="1"/>
      <w:numFmt w:val="bullet"/>
      <w:lvlText w:val="●"/>
      <w:lvlJc w:val="left"/>
      <w:pPr>
        <w:ind w:left="5040" w:hanging="360"/>
      </w:pPr>
    </w:lvl>
    <w:lvl w:ilvl="7" w:tplc="0386A028">
      <w:start w:val="1"/>
      <w:numFmt w:val="bullet"/>
      <w:lvlText w:val="●"/>
      <w:lvlJc w:val="left"/>
      <w:pPr>
        <w:ind w:left="5760" w:hanging="360"/>
      </w:pPr>
    </w:lvl>
    <w:lvl w:ilvl="8" w:tplc="D0D2ACA8">
      <w:start w:val="1"/>
      <w:numFmt w:val="bullet"/>
      <w:lvlText w:val="●"/>
      <w:lvlJc w:val="left"/>
      <w:pPr>
        <w:ind w:left="6480" w:hanging="360"/>
      </w:pPr>
    </w:lvl>
  </w:abstractNum>
  <w:num w:numId="1" w16cid:durableId="2025352177">
    <w:abstractNumId w:val="2"/>
    <w:lvlOverride w:ilvl="0">
      <w:startOverride w:val="1"/>
    </w:lvlOverride>
  </w:num>
  <w:num w:numId="2" w16cid:durableId="844171236">
    <w:abstractNumId w:val="1"/>
    <w:lvlOverride w:ilvl="0">
      <w:startOverride w:val="1"/>
    </w:lvlOverride>
  </w:num>
  <w:num w:numId="3" w16cid:durableId="2026903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97F"/>
    <w:rsid w:val="0010231E"/>
    <w:rsid w:val="0091101C"/>
    <w:rsid w:val="00AB7AE7"/>
    <w:rsid w:val="00D709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14980AD"/>
  <w15:docId w15:val="{F4C0AE70-2DE0-DC4A-9B9E-AC2367F4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1157</Words>
  <Characters>6598</Characters>
  <Application>Microsoft Office Word</Application>
  <DocSecurity>0</DocSecurity>
  <Lines>54</Lines>
  <Paragraphs>15</Paragraphs>
  <ScaleCrop>false</ScaleCrop>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Amir</cp:lastModifiedBy>
  <cp:revision>2</cp:revision>
  <dcterms:created xsi:type="dcterms:W3CDTF">2026-08-10T07:57:00Z</dcterms:created>
  <dcterms:modified xsi:type="dcterms:W3CDTF">2026-08-10T10:24:00Z</dcterms:modified>
</cp:coreProperties>
</file>