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b/>
          <w:bCs/>
          <w:color w:val="1F3864"/>
          <w:sz w:val="40"/>
          <w:szCs w:val="40"/>
        </w:rPr>
        <w:t>PREVENTRA</w:t>
      </w:r>
    </w:p>
    <w:p>
      <w:pPr>
        <w:pStyle w:val="Normal"/>
        <w:spacing w:before="0" w:after="300"/>
        <w:jc w:val="center"/>
        <w:rPr/>
      </w:pPr>
      <w:r>
        <w:rPr>
          <w:b/>
          <w:bCs/>
          <w:sz w:val="24"/>
          <w:szCs w:val="24"/>
        </w:rPr>
        <w:t>CMS Data: Feasibility &amp; 4-Week Plan</w:t>
      </w:r>
    </w:p>
    <w:p>
      <w:pPr>
        <w:pStyle w:val="Heading1"/>
        <w:spacing w:before="300" w:after="140"/>
        <w:rPr/>
      </w:pPr>
      <w:r>
        <w:rPr/>
        <w:t>Completed work &amp; baseline system</w:t>
      </w:r>
    </w:p>
    <w:p>
      <w:pPr>
        <w:pStyle w:val="Normal"/>
        <w:spacing w:before="0" w:after="140"/>
        <w:rPr/>
      </w:pPr>
      <w:r>
        <w:rPr/>
        <w:t>Before embarking on the CMS data migration and weekly trend monitoring, a fully functional baseline system (code-named NeuroShield, branded as Preventra) has been built and verified. The completed baseline architecture includes:</w:t>
      </w:r>
    </w:p>
    <w:p>
      <w:pPr>
        <w:pStyle w:val="ListParagraph"/>
        <w:numPr>
          <w:ilvl w:val="0"/>
          <w:numId w:val="3"/>
        </w:numPr>
        <w:spacing w:before="0" w:after="50"/>
        <w:rPr/>
      </w:pPr>
      <w:r>
        <w:rPr>
          <w:b/>
          <w:bCs/>
        </w:rPr>
        <w:t xml:space="preserve">Offline ML Pipeline: </w:t>
      </w:r>
      <w:r>
        <w:rPr/>
        <w:t>C</w:t>
      </w:r>
      <w:r>
        <w:rPr/>
        <w:t>leans raw clinical data, computes Charlson Comorbidity Index (CCI) scores from ICD-9 codes, and engineers ~25 clinical features. Trains a Decision Tree classifier (balanced labels and sample weighting to prioritize under-30-day readmissions), logs runs to a local MLflow registry, and calibrates risk thresholds into High, Medium, and Low bands.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>
          <w:b/>
          <w:bCs/>
        </w:rPr>
        <w:t>Interpretability Engine:</w:t>
      </w:r>
      <w:r>
        <w:rPr/>
        <w:t xml:space="preserve"> </w:t>
      </w:r>
      <w:r>
        <w:rPr/>
        <w:t>A</w:t>
      </w:r>
      <w:r>
        <w:rPr/>
        <w:t xml:space="preserve"> decision-path tool that walks the decision tree for each patient to extract and map the top 3 patient-specific risk drivers to clinician-friendly explanations.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>
          <w:b/>
          <w:bCs/>
        </w:rPr>
        <w:t>Production Batch Pipeline:</w:t>
      </w:r>
      <w:r>
        <w:rPr/>
        <w:t xml:space="preserve"> </w:t>
      </w:r>
      <w:r>
        <w:rPr/>
        <w:t>A</w:t>
      </w:r>
      <w:r>
        <w:rPr/>
        <w:t xml:space="preserve"> Prefect-orchestrated batch scoring pipeline that processes new discharge CSVs, runs feature engineering, scores patients, extracts risk drivers, and writes results to MongoDB.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>
          <w:b/>
          <w:bCs/>
        </w:rPr>
        <w:t>FastAPI Backend API:</w:t>
      </w:r>
      <w:r>
        <w:rPr/>
        <w:t xml:space="preserve"> REST endpoints for the dashboard: patient worklists, historical score logs, care coordinator assignment, care notes, alerts on 15-point score jumps, and manual patient scoring.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>
          <w:b/>
          <w:bCs/>
        </w:rPr>
        <w:t>Gemini-Powered Chatbot:</w:t>
      </w:r>
      <w:r>
        <w:rPr/>
        <w:t xml:space="preserve"> </w:t>
      </w:r>
      <w:r>
        <w:rPr/>
        <w:t>A</w:t>
      </w:r>
      <w:r>
        <w:rPr/>
        <w:t xml:space="preserve"> safe, two-stage natural language interface using Google Gemini function-calling to query MongoDB and answer clinician questions without raw query generation.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>
          <w:b/>
          <w:bCs/>
        </w:rPr>
        <w:t>React Clinical Dashboard:</w:t>
      </w:r>
      <w:r>
        <w:rPr/>
        <w:t xml:space="preserve"> </w:t>
      </w:r>
      <w:r>
        <w:rPr/>
        <w:t>P</w:t>
      </w:r>
      <w:r>
        <w:rPr/>
        <w:t>atient worklists, detailed risk profile timelines, care coordination tools, manual patient entry/updating, and live alert feeds.</w:t>
      </w:r>
    </w:p>
    <w:p>
      <w:pPr>
        <w:pStyle w:val="Heading1"/>
        <w:spacing w:before="300" w:after="140"/>
        <w:rPr/>
      </w:pPr>
      <w:r>
        <w:rPr/>
        <w:t>Summary</w:t>
      </w:r>
    </w:p>
    <w:p>
      <w:pPr>
        <w:pStyle w:val="Normal"/>
        <w:spacing w:before="0" w:after="140"/>
        <w:rPr/>
      </w:pPr>
      <w:r>
        <w:rPr/>
        <w:t>We can proceed. Phase 1 (discharge-time risk) is fully supported, a working model already exists. Phase 2 (weekly trend) is supported for the claims  and pharmacy-based signals; patient-reported and care-coordination signals need a separate source later.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2399"/>
        <w:gridCol w:w="2001"/>
        <w:gridCol w:w="4960"/>
      </w:tblGrid>
      <w:tr>
        <w:trPr>
          <w:tblHeader w:val="true"/>
        </w:trPr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Track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Verdict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Why</w:t>
            </w:r>
          </w:p>
        </w:tc>
      </w:tr>
      <w:tr>
        <w:trPr/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Phase 1 — discharge risk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Go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Full feature set available; feature engineering feasible.</w:t>
            </w:r>
          </w:p>
        </w:tc>
      </w:tr>
      <w:tr>
        <w:trPr/>
        <w:tc>
          <w:tcPr>
            <w:tcW w:w="2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Phase 2 — weekly trend</w:t>
            </w:r>
          </w:p>
        </w:tc>
        <w:tc>
          <w:tcPr>
            <w:tcW w:w="2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Conditional go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Follow-up visits and Rx adherence are buildable now. Engagement/care-coordination data comes later, from our own product.</w:t>
            </w:r>
          </w:p>
        </w:tc>
      </w:tr>
    </w:tbl>
    <w:p>
      <w:pPr>
        <w:pStyle w:val="Heading1"/>
        <w:spacing w:before="300" w:after="140"/>
        <w:rPr/>
      </w:pPr>
      <w:r>
        <w:rPr/>
        <w:t>The dataset</w:t>
      </w:r>
    </w:p>
    <w:p>
      <w:pPr>
        <w:pStyle w:val="Normal"/>
        <w:spacing w:before="0" w:after="140"/>
        <w:rPr/>
      </w:pPr>
      <w:r>
        <w:rPr>
          <w:b/>
          <w:bCs/>
        </w:rPr>
        <w:t>CMS DE-SynPUF:</w:t>
      </w:r>
      <w:r>
        <w:rPr/>
        <w:t xml:space="preserve"> three years (2008–2010) of Medicare claims, linked per patient, across five files: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/>
        <w:t xml:space="preserve">Beneficiary Summary: </w:t>
      </w:r>
      <w:r>
        <w:rPr/>
        <w:t>D</w:t>
      </w:r>
      <w:r>
        <w:rPr/>
        <w:t>emographics, chronic conditions, coverage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/>
        <w:t xml:space="preserve">Inpatient Claims: </w:t>
      </w:r>
      <w:r>
        <w:rPr/>
        <w:t>A</w:t>
      </w:r>
      <w:r>
        <w:rPr/>
        <w:t>dmissions, discharge dates, DRG, diagnoses — the Phase 1 spine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/>
        <w:t xml:space="preserve">Outpatient &amp; Carrier Claims: </w:t>
      </w:r>
      <w:r>
        <w:rPr/>
        <w:t>V</w:t>
      </w:r>
      <w:r>
        <w:rPr/>
        <w:t>isits, used for prior utilization and follow-up tracking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/>
        <w:t xml:space="preserve">Part D Events: </w:t>
      </w:r>
      <w:r>
        <w:rPr/>
        <w:t>P</w:t>
      </w:r>
      <w:r>
        <w:rPr/>
        <w:t>rescription fills, the Phase 2 adherence signal</w:t>
      </w:r>
    </w:p>
    <w:p>
      <w:pPr>
        <w:pStyle w:val="Normal"/>
        <w:spacing w:before="0" w:after="140"/>
        <w:rPr/>
      </w:pPr>
      <w:r>
        <w:rPr>
          <w:i/>
          <w:iCs/>
        </w:rPr>
        <w:t>Only a small preview is loaded so far; Week 1 pulls the full sample.</w:t>
      </w:r>
    </w:p>
    <w:p>
      <w:pPr>
        <w:pStyle w:val="Heading1"/>
        <w:spacing w:before="300" w:after="140"/>
        <w:rPr/>
      </w:pPr>
      <w:r>
        <w:rPr/>
        <w:t>Strengths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/>
        <w:t>3 years of linked history per patient — enables prior-utilization and trend features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/>
        <w:t>Real Medicare claims schema — pipeline transfers directly to production data later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/>
        <w:t>Financial and utilization detail our current diabetes-only product doesn't have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/>
        <w:t>Covers many conditions, not just diabetes — broadens the product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/>
        <w:t>Part D fill data is a genuine, usable adherence signal for Phase 2</w:t>
      </w:r>
    </w:p>
    <w:p>
      <w:pPr>
        <w:pStyle w:val="Heading1"/>
        <w:spacing w:before="300" w:after="140"/>
        <w:rPr/>
      </w:pPr>
      <w:r>
        <w:rPr/>
        <w:t>Gaps &amp; workarounds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2899"/>
        <w:gridCol w:w="3121"/>
        <w:gridCol w:w="3340"/>
      </w:tblGrid>
      <w:tr>
        <w:trPr>
          <w:tblHeader w:val="true"/>
        </w:trPr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Gap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Workaround now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F3864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Later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No labs, vitals, or clinical notes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Use diagnosis/procedure codes and DRG as severity proxies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Add EHR data when available</w:t>
            </w:r>
          </w:p>
        </w:tc>
      </w:tr>
      <w:tr>
        <w:trPr/>
        <w:tc>
          <w:tcPr>
            <w:tcW w:w="2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No patient-reported or care-coordination data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Phase 2 ships with the claims-derivable subset only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2F2F2" w:val="clear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>Separate workstream once the product is live and collecting this data</w:t>
            </w:r>
          </w:p>
        </w:tc>
      </w:tr>
    </w:tbl>
    <w:p>
      <w:pPr>
        <w:pStyle w:val="Heading1"/>
        <w:spacing w:before="300" w:after="140"/>
        <w:rPr/>
      </w:pPr>
      <w:r>
        <w:rPr/>
        <w:t>4-Week PREVENTRA Implementation Plan</w:t>
      </w:r>
    </w:p>
    <w:p>
      <w:pPr>
        <w:pStyle w:val="Heading2"/>
        <w:spacing w:before="200" w:after="100"/>
        <w:rPr/>
      </w:pPr>
      <w:r>
        <w:rPr/>
        <w:t>Week 1: Data Infrastructure &amp; Cohort Definition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/>
        <w:t>Pull the full CMS DE-SynPUF sample, including Beneficiary, Inpatient, Outpatient, Carrier, and Part D files.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/>
        <w:t>Clean and standardize the source files to prepare them for the offline ML pipeline.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/>
        <w:t>Build the core inpatient spine, join the beneficiary data, and define the readmission label.</w:t>
      </w:r>
    </w:p>
    <w:p>
      <w:pPr>
        <w:pStyle w:val="Heading2"/>
        <w:spacing w:before="200" w:after="100"/>
        <w:rPr/>
      </w:pPr>
      <w:r>
        <w:rPr/>
        <w:t>Week 2: Static Feature Engineering &amp; Baseline Modeling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/>
        <w:t>Construct lookback features encompassing prior visits, cost, and Rx history per admission.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/>
        <w:t>Finalize all diagnosis-based features, including comorbidity and frailty metrics.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/>
        <w:t>Train the discharge-time model, evaluate its accuracy and calibration, and review the top features.</w:t>
      </w:r>
    </w:p>
    <w:p>
      <w:pPr>
        <w:pStyle w:val="Heading2"/>
        <w:spacing w:before="200" w:after="100"/>
        <w:rPr/>
      </w:pPr>
      <w:r>
        <w:rPr/>
        <w:t>Week 3: Longitudinal Data &amp; Dynamic Features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/>
        <w:t>Isolate the post-discharge follow-up visit and Rx refill signals.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/>
        <w:t>Reconstruct the week-by-week feature history for testing.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/>
        <w:t>Generate the weekly snapshots to build the longitudinal tracking framework.</w:t>
      </w:r>
    </w:p>
    <w:p>
      <w:pPr>
        <w:pStyle w:val="Heading2"/>
        <w:spacing w:before="200" w:after="100"/>
        <w:rPr/>
      </w:pPr>
      <w:r>
        <w:rPr/>
        <w:t>Week 4: Unified Modeling, Testing &amp; Readout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/>
        <w:t>Extend the core model with the new post-discharge features and integrate the trend detection logic.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/>
        <w:t>Backtest the trend logic, check edge cases, and finalize the backend pull requests for review.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/>
        <w:t>Package the system as a weekly scoring prototype.</w:t>
      </w:r>
    </w:p>
    <w:p>
      <w:pPr>
        <w:pStyle w:val="Heading1"/>
        <w:spacing w:before="300" w:after="140"/>
        <w:rPr/>
      </w:pPr>
      <w:r>
        <w:rPr/>
        <w:t>Done by end of sprint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/>
        <w:t>A trained, evaluated Phase 1 model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/>
        <w:t>A working Phase 2 prototype: weekly score + trend, tested on historical data</w:t>
      </w:r>
    </w:p>
    <w:p>
      <w:pPr>
        <w:pStyle w:val="ListParagraph"/>
        <w:numPr>
          <w:ilvl w:val="0"/>
          <w:numId w:val="1"/>
        </w:numPr>
        <w:spacing w:before="0" w:after="50"/>
        <w:rPr/>
      </w:pPr>
      <w:r>
        <w:rPr/>
        <w:t>A clear scope for what's next: App Development, Deployment, Scaling</w:t>
      </w:r>
    </w:p>
    <w:p>
      <w:pPr>
        <w:pStyle w:val="Normal"/>
        <w:spacing w:before="3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60" w:type="dxa"/>
          <w:left w:w="200" w:type="dxa"/>
          <w:bottom w:w="16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CEFDD" w:val="clear"/>
          </w:tcPr>
          <w:p>
            <w:pPr>
              <w:pStyle w:val="Normal"/>
              <w:widowControl w:val="false"/>
              <w:spacing w:before="0" w:after="80"/>
              <w:rPr/>
            </w:pPr>
            <w:r>
              <w:rPr>
                <w:b/>
                <w:bCs/>
                <w:sz w:val="21"/>
                <w:szCs w:val="21"/>
              </w:rPr>
              <w:t>A Note on MIMIC-IV Access</w:t>
            </w:r>
          </w:p>
          <w:p>
            <w:pPr>
              <w:pStyle w:val="Normal"/>
              <w:widowControl w:val="false"/>
              <w:spacing w:before="0" w:after="100"/>
              <w:rPr/>
            </w:pPr>
            <w:r>
              <w:rPr>
                <w:sz w:val="20"/>
                <w:szCs w:val="20"/>
              </w:rPr>
              <w:t>MIMIC-IV is a real, single-hospital clinical dataset we're using alongside CMS to test whether adding lab values, vitals, and severity scores improves discharge-risk predictions. It's also our only source of real outpatient vitals data, useful for validating the Phase 2 trend logic.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sz w:val="20"/>
                <w:szCs w:val="20"/>
              </w:rPr>
              <w:t>While MIMIC-IV offers fantastic clinical depth, genuine outpatient vitals and actual lab values it is a strictly restricted, credentialed dataset. Gaining access requires registering with PhysioNet and completing a recognized human subjects research training course (typically the CITI “Data or Specimens Only Research” course). You must then submit an application and sign a data use agreement. Completing the required course and waiting for the formal access approval will take extra time.</w:t>
            </w:r>
          </w:p>
        </w:tc>
      </w:tr>
    </w:tbl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Lohit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Lohit Devanagari"/>
      <w:color w:val="auto"/>
      <w:kern w:val="0"/>
      <w:sz w:val="20"/>
      <w:szCs w:val="20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LibreOffice/7.3.7.2$Linux_X86_64 LibreOffice_project/30$Build-2</Application>
  <AppVersion>15.0000</AppVersion>
  <Pages>2</Pages>
  <Words>823</Words>
  <Characters>4800</Characters>
  <CharactersWithSpaces>5531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2026-08-21T04:36:30Z</dcterms:created>
  <dc:creator>Un-named</dc:creator>
  <dc:description/>
  <dc:language>en-US</dc:language>
  <cp:lastModifiedBy/>
  <dcterms:modified xsi:type="dcterms:W3CDTF">2026-08-21T10:07:57Z</dcterms:modified>
  <cp:revision>4</cp:revision>
  <dc:subject/>
  <dc:title/>
</cp:coreProperties>
</file>