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0F2A4A"/>
          <w:sz w:val="44"/>
          <w:szCs w:val="44"/>
        </w:rPr>
        <w:t xml:space="preserve">Readmission Project</w:t>
      </w:r>
    </w:p>
    <w:p>
      <w:pPr>
        <w:spacing w:after="40" w:before="120"/>
        <w:jc w:val="center"/>
      </w:pPr>
      <w:r>
        <w:rPr>
          <w:b/>
          <w:bCs/>
          <w:color w:val="0D7377"/>
          <w:sz w:val="30"/>
          <w:szCs w:val="30"/>
        </w:rPr>
        <w:t xml:space="preserve">Progress Report — Presentation Script</w:t>
      </w:r>
    </w:p>
    <w:p>
      <w:pPr>
        <w:spacing w:after="40" w:before="40"/>
        <w:jc w:val="center"/>
      </w:pPr>
      <w:r>
        <w:rPr>
          <w:i/>
          <w:iCs/>
          <w:color w:val="595959"/>
          <w:sz w:val="22"/>
          <w:szCs w:val="22"/>
        </w:rPr>
        <w:t xml:space="preserve">Slide-by-slide speaker notes for the client walkthrough</w:t>
      </w:r>
    </w:p>
    <w:p>
      <w:pPr>
        <w:spacing w:after="40" w:before="300"/>
        <w:jc w:val="center"/>
      </w:pPr>
      <w:r>
        <w:rPr>
          <w:color w:val="595959"/>
          <w:sz w:val="20"/>
          <w:szCs w:val="20"/>
        </w:rPr>
        <w:t xml:space="preserve">Estimated run time: 5–6 minutes  •  6 slides</w:t>
      </w:r>
    </w:p>
    <w:p>
      <w:pPr>
        <w:spacing w:after="400"/>
        <w:jc w:val="center"/>
      </w:pPr>
      <w:r>
        <w:rPr>
          <w:color w:val="595959"/>
          <w:sz w:val="20"/>
          <w:szCs w:val="20"/>
        </w:rPr>
        <w:t xml:space="preserve">July 2026</w:t>
      </w:r>
    </w:p>
    <w:p>
      <w:r>
        <w:br w:type="page"/>
      </w:r>
    </w:p>
    <w:p>
      <w:pPr>
        <w:pStyle w:val="Heading1"/>
        <w:pBdr>
          <w:bottom w:val="single" w:color="0F2A4A" w:sz="8" w:space="4"/>
        </w:pBdr>
        <w:spacing w:after="160" w:before="80"/>
      </w:pPr>
      <w:r>
        <w:rPr>
          <w:b/>
          <w:bCs/>
          <w:color w:val="0F2A4A"/>
        </w:rPr>
        <w:t xml:space="preserve">How to Use This Script</w:t>
      </w:r>
    </w:p>
    <w:p>
      <w:pPr>
        <w:spacing w:after="160" w:line="300"/>
      </w:pPr>
      <w:r>
        <w:rPr>
          <w:sz w:val="23"/>
          <w:szCs w:val="23"/>
        </w:rPr>
        <w:t xml:space="preserve">Each section below corresponds to one slide in preventra_progress_update_v2.pptx, in order. “On screen” recaps what the audience is looking at; the paragraph beneath it is the talking script itself — read it naturally rather than verbatim, and adjust pacing to the room. Each slide is designed to take roughly 30–60 seconds.</w:t>
      </w:r>
    </w:p>
    <w:p>
      <w:pPr>
        <w:keepNext/>
        <w:spacing w:after="140"/>
      </w:pPr>
      <w:r>
        <w:rPr>
          <w:b/>
          <w:bCs/>
          <w:color w:val="0F2A4A"/>
          <w:sz w:val="30"/>
          <w:szCs w:val="30"/>
        </w:rPr>
        <w:t xml:space="preserve">Title — Progress Report</w:t>
      </w:r>
    </w:p>
    <w:p>
      <w:pPr>
        <w:spacing w:after="160"/>
      </w:pPr>
      <w:r>
        <w:rPr>
          <w:b/>
          <w:bCs/>
          <w:i/>
          <w:iCs/>
          <w:color w:val="595959"/>
          <w:sz w:val="20"/>
          <w:szCs w:val="20"/>
        </w:rPr>
        <w:t xml:space="preserve">On screen: </w:t>
      </w:r>
      <w:r>
        <w:rPr>
          <w:i/>
          <w:iCs/>
          <w:color w:val="595959"/>
          <w:sz w:val="20"/>
          <w:szCs w:val="20"/>
        </w:rPr>
        <w:t xml:space="preserve">“Readmission Project — Progress Report” title slide with the project shield mark.</w:t>
      </w:r>
    </w:p>
    <w:p>
      <w:pPr>
        <w:spacing w:after="160" w:line="300"/>
      </w:pPr>
      <w:r>
        <w:rPr>
          <w:sz w:val="23"/>
          <w:szCs w:val="23"/>
        </w:rPr>
        <w:t xml:space="preserve">Good [morning/afternoon], thank you for making time. Today I want to walk you through what we've shipped on the Readmission Risk platform since our last check-in. We've focused on four concrete capabilities that harden the platform and make it usable day-to-day by your care team, and I'll close with a recap of the data specification we delivered — the document that unlocks the next phase of the model. Let's get into it.</w:t>
      </w:r>
    </w:p>
    <w:p>
      <w:pPr>
        <w:keepNext/>
        <w:spacing w:after="140"/>
      </w:pPr>
      <w:r>
        <w:rPr>
          <w:b/>
          <w:bCs/>
          <w:color w:val="0F2A4A"/>
          <w:sz w:val="30"/>
          <w:szCs w:val="30"/>
        </w:rPr>
        <w:t xml:space="preserve">Slide 2 — API Authentication</w:t>
      </w:r>
    </w:p>
    <w:p>
      <w:pPr>
        <w:spacing w:after="160"/>
      </w:pPr>
      <w:r>
        <w:rPr>
          <w:b/>
          <w:bCs/>
          <w:i/>
          <w:iCs/>
          <w:color w:val="595959"/>
          <w:sz w:val="20"/>
          <w:szCs w:val="20"/>
        </w:rPr>
        <w:t xml:space="preserve">On screen: </w:t>
      </w:r>
      <w:r>
        <w:rPr>
          <w:i/>
          <w:iCs/>
          <w:color w:val="595959"/>
          <w:sz w:val="20"/>
          <w:szCs w:val="20"/>
        </w:rPr>
        <w:t xml:space="preserve">“API Authentication” — 100% of endpoints now secured.</w:t>
      </w:r>
    </w:p>
    <w:p>
      <w:pPr>
        <w:spacing w:after="160" w:line="300"/>
      </w:pPr>
      <w:r>
        <w:rPr>
          <w:sz w:val="23"/>
          <w:szCs w:val="23"/>
        </w:rPr>
        <w:t xml:space="preserve">First, security. Up until this sprint, the API had no authentication at all — any client that knew the URL could call it. That's closed now. Every single endpoint requires a valid key in the request header; anything missing or invalid is rejected immediately, before it ever touches patient data. The dashboard already authenticates automatically, so nothing changes for your day-to-day users — but any external or unauthorized access is now locked out entirely.</w:t>
      </w:r>
    </w:p>
    <w:p>
      <w:pPr>
        <w:pBdr>
          <w:left w:val="single" w:color="0D7377" w:sz="18" w:space="8"/>
        </w:pBdr>
        <w:spacing w:after="260" w:before="60"/>
        <w:ind w:left="260"/>
      </w:pPr>
      <w:r>
        <w:rPr>
          <w:b/>
          <w:bCs/>
          <w:color w:val="0D7377"/>
          <w:sz w:val="20"/>
          <w:szCs w:val="20"/>
        </w:rPr>
        <w:t xml:space="preserve">Key point:  </w:t>
      </w:r>
      <w:r>
        <w:rPr>
          <w:i/>
          <w:iCs/>
          <w:color w:val="374151"/>
          <w:sz w:val="20"/>
          <w:szCs w:val="20"/>
        </w:rPr>
        <w:t xml:space="preserve">Zero endpoints are open. This was the platform's last unsecured surface.</w:t>
      </w:r>
    </w:p>
    <w:p>
      <w:pPr>
        <w:keepNext/>
        <w:spacing w:after="140"/>
      </w:pPr>
      <w:r>
        <w:rPr>
          <w:b/>
          <w:bCs/>
          <w:color w:val="0F2A4A"/>
          <w:sz w:val="30"/>
          <w:szCs w:val="30"/>
        </w:rPr>
        <w:t xml:space="preserve">Slide 3 — Care Coordinator Workflow</w:t>
      </w:r>
    </w:p>
    <w:p>
      <w:pPr>
        <w:spacing w:after="160"/>
      </w:pPr>
      <w:r>
        <w:rPr>
          <w:b/>
          <w:bCs/>
          <w:i/>
          <w:iCs/>
          <w:color w:val="595959"/>
          <w:sz w:val="20"/>
          <w:szCs w:val="20"/>
        </w:rPr>
        <w:t xml:space="preserve">On screen: </w:t>
      </w:r>
      <w:r>
        <w:rPr>
          <w:i/>
          <w:iCs/>
          <w:color w:val="595959"/>
          <w:sz w:val="20"/>
          <w:szCs w:val="20"/>
        </w:rPr>
        <w:t xml:space="preserve">“Care Coordinator Workflow” — 3-in-1: assign, log notes, export.</w:t>
      </w:r>
    </w:p>
    <w:p>
      <w:pPr>
        <w:spacing w:after="160" w:line="300"/>
      </w:pPr>
      <w:r>
        <w:rPr>
          <w:sz w:val="23"/>
          <w:szCs w:val="23"/>
        </w:rPr>
        <w:t xml:space="preserve">Second, we built a full care coordinator workflow directly into the dashboard. A coordinator can now be assigned to any patient in one click, care notes can be logged and are visible to the whole team with a timestamp and author, and the entire current worklist can be exported to CSV in whatever sort order you're viewing it — by risk band, discharge date, or driver. This turns the dashboard from a read-only risk report into a place where the care team actually does its job.</w:t>
      </w:r>
    </w:p>
    <w:p>
      <w:pPr>
        <w:pBdr>
          <w:left w:val="single" w:color="0D7377" w:sz="18" w:space="8"/>
        </w:pBdr>
        <w:spacing w:after="260" w:before="60"/>
        <w:ind w:left="260"/>
      </w:pPr>
      <w:r>
        <w:rPr>
          <w:b/>
          <w:bCs/>
          <w:color w:val="0D7377"/>
          <w:sz w:val="20"/>
          <w:szCs w:val="20"/>
        </w:rPr>
        <w:t xml:space="preserve">Key point:  </w:t>
      </w:r>
      <w:r>
        <w:rPr>
          <w:i/>
          <w:iCs/>
          <w:color w:val="374151"/>
          <w:sz w:val="20"/>
          <w:szCs w:val="20"/>
        </w:rPr>
        <w:t xml:space="preserve">The dashboard is now a working tool for coordinators, not just a report for reviewers.</w:t>
      </w:r>
    </w:p>
    <w:p>
      <w:pPr>
        <w:keepNext/>
        <w:spacing w:after="140"/>
      </w:pPr>
      <w:r>
        <w:rPr>
          <w:b/>
          <w:bCs/>
          <w:color w:val="0F2A4A"/>
          <w:sz w:val="30"/>
          <w:szCs w:val="30"/>
        </w:rPr>
        <w:t xml:space="preserve">Slide 4 — Live Patient Updates</w:t>
      </w:r>
    </w:p>
    <w:p>
      <w:pPr>
        <w:spacing w:after="160"/>
      </w:pPr>
      <w:r>
        <w:rPr>
          <w:b/>
          <w:bCs/>
          <w:i/>
          <w:iCs/>
          <w:color w:val="595959"/>
          <w:sz w:val="20"/>
          <w:szCs w:val="20"/>
        </w:rPr>
        <w:t xml:space="preserve">On screen: </w:t>
      </w:r>
      <w:r>
        <w:rPr>
          <w:i/>
          <w:iCs/>
          <w:color w:val="595959"/>
          <w:sz w:val="20"/>
          <w:szCs w:val="20"/>
        </w:rPr>
        <w:t xml:space="preserve">“Live Patient Updates” — 15 clinical fields editable per patient.</w:t>
      </w:r>
    </w:p>
    <w:p>
      <w:pPr>
        <w:spacing w:after="160" w:line="300"/>
      </w:pPr>
      <w:r>
        <w:rPr>
          <w:sz w:val="23"/>
          <w:szCs w:val="23"/>
        </w:rPr>
        <w:t xml:space="preserve">Third — and this is one I'm glad we got right — a provider can now open any patient, including ones from the original batch data, and edit their clinical details directly: prior admissions, medications, labs, all fifteen fields the model considers. The moment they submit, the score, risk band, and top three drivers recalculate live, before anything is saved. They see the patient's picture before and after side by side, and only then choose to save it.</w:t>
      </w:r>
    </w:p>
    <w:p>
      <w:pPr>
        <w:pBdr>
          <w:left w:val="single" w:color="0D7377" w:sz="18" w:space="8"/>
        </w:pBdr>
        <w:spacing w:after="260" w:before="60"/>
        <w:ind w:left="260"/>
      </w:pPr>
      <w:r>
        <w:rPr>
          <w:b/>
          <w:bCs/>
          <w:color w:val="0D7377"/>
          <w:sz w:val="20"/>
          <w:szCs w:val="20"/>
        </w:rPr>
        <w:t xml:space="preserve">Key point:  </w:t>
      </w:r>
      <w:r>
        <w:rPr>
          <w:i/>
          <w:iCs/>
          <w:color w:val="374151"/>
          <w:sz w:val="20"/>
          <w:szCs w:val="20"/>
        </w:rPr>
        <w:t xml:space="preserve">Nothing is saved silently — the provider always sees the before-and-after first.</w:t>
      </w:r>
    </w:p>
    <w:p>
      <w:pPr>
        <w:keepNext/>
        <w:spacing w:after="140"/>
      </w:pPr>
      <w:r>
        <w:rPr>
          <w:b/>
          <w:bCs/>
          <w:color w:val="0F2A4A"/>
          <w:sz w:val="30"/>
          <w:szCs w:val="30"/>
        </w:rPr>
        <w:t xml:space="preserve">Slide 5 — Automatic Risk Alerts</w:t>
      </w:r>
    </w:p>
    <w:p>
      <w:pPr>
        <w:spacing w:after="160"/>
      </w:pPr>
      <w:r>
        <w:rPr>
          <w:b/>
          <w:bCs/>
          <w:i/>
          <w:iCs/>
          <w:color w:val="595959"/>
          <w:sz w:val="20"/>
          <w:szCs w:val="20"/>
        </w:rPr>
        <w:t xml:space="preserve">On screen: </w:t>
      </w:r>
      <w:r>
        <w:rPr>
          <w:i/>
          <w:iCs/>
          <w:color w:val="595959"/>
          <w:sz w:val="20"/>
          <w:szCs w:val="20"/>
        </w:rPr>
        <w:t xml:space="preserve">“Automatic Risk Alerts” — 15+ pts score jump triggers an alert.</w:t>
      </w:r>
    </w:p>
    <w:p>
      <w:pPr>
        <w:spacing w:after="160" w:line="300"/>
      </w:pPr>
      <w:r>
        <w:rPr>
          <w:sz w:val="23"/>
          <w:szCs w:val="23"/>
        </w:rPr>
        <w:t xml:space="preserve">Fourth, once an update is saved, the system now watches for meaningful deterioration on its own. If a patient's score jumps fifteen or more points, or crosses into a higher risk band, an alert fires immediately — no one has to notice it manually. It shows up as a live count on a notification bell in the dashboard, with the old score, the new score, and a one-click acknowledge once someone's followed up. Small, ordinary fluctuations don't trigger noise — only jumps that actually matter clinically.</w:t>
      </w:r>
    </w:p>
    <w:p>
      <w:pPr>
        <w:pBdr>
          <w:left w:val="single" w:color="0D7377" w:sz="18" w:space="8"/>
        </w:pBdr>
        <w:spacing w:after="260" w:before="60"/>
        <w:ind w:left="260"/>
      </w:pPr>
      <w:r>
        <w:rPr>
          <w:b/>
          <w:bCs/>
          <w:color w:val="0D7377"/>
          <w:sz w:val="20"/>
          <w:szCs w:val="20"/>
        </w:rPr>
        <w:t xml:space="preserve">Key point:  </w:t>
      </w:r>
      <w:r>
        <w:rPr>
          <w:i/>
          <w:iCs/>
          <w:color w:val="374151"/>
          <w:sz w:val="20"/>
          <w:szCs w:val="20"/>
        </w:rPr>
        <w:t xml:space="preserve">The platform now escalates deterioration proactively instead of waiting to be asked.</w:t>
      </w:r>
    </w:p>
    <w:p>
      <w:pPr>
        <w:keepNext/>
        <w:spacing w:after="140"/>
      </w:pPr>
      <w:r>
        <w:rPr>
          <w:b/>
          <w:bCs/>
          <w:color w:val="0F2A4A"/>
          <w:sz w:val="30"/>
          <w:szCs w:val="30"/>
        </w:rPr>
        <w:t xml:space="preserve">Slide 6 — Data Requirements Specification</w:t>
      </w:r>
    </w:p>
    <w:p>
      <w:pPr>
        <w:spacing w:after="160"/>
      </w:pPr>
      <w:r>
        <w:rPr>
          <w:b/>
          <w:bCs/>
          <w:i/>
          <w:iCs/>
          <w:color w:val="595959"/>
          <w:sz w:val="20"/>
          <w:szCs w:val="20"/>
        </w:rPr>
        <w:t xml:space="preserve">On screen: </w:t>
      </w:r>
      <w:r>
        <w:rPr>
          <w:i/>
          <w:iCs/>
          <w:color w:val="595959"/>
          <w:sz w:val="20"/>
          <w:szCs w:val="20"/>
        </w:rPr>
        <w:t xml:space="preserve">“Data Requirements Specification” — 12 categories, priority tiers, status per field.</w:t>
      </w:r>
    </w:p>
    <w:p>
      <w:pPr>
        <w:spacing w:after="160" w:line="300"/>
      </w:pPr>
      <w:r>
        <w:rPr>
          <w:sz w:val="23"/>
          <w:szCs w:val="23"/>
        </w:rPr>
        <w:t xml:space="preserve">Last, a recap of something we delivered earlier: the full data requirements specification — essentially a data dictionary — that we handed to your data-provisioning contact. It documents exactly which real patient fields we need, across twelve categories from identifiers and demographics through labs, medications, social determinants, and outcomes. Every field is tagged with a priority — must, should, or nice-to-have — and its current status in our sample data: have, partial, or missing. This is the document that gates our next milestone: once real, de-identified data lands, we retrain the model to generalize beyond diabetes to all-cause readmission.</w:t>
      </w:r>
    </w:p>
    <w:p>
      <w:pPr>
        <w:pBdr>
          <w:left w:val="single" w:color="0D7377" w:sz="18" w:space="8"/>
        </w:pBdr>
        <w:spacing w:after="260" w:before="60"/>
        <w:ind w:left="260"/>
      </w:pPr>
      <w:r>
        <w:rPr>
          <w:b/>
          <w:bCs/>
          <w:color w:val="0D7377"/>
          <w:sz w:val="20"/>
          <w:szCs w:val="20"/>
        </w:rPr>
        <w:t xml:space="preserve">Key point:  </w:t>
      </w:r>
      <w:r>
        <w:rPr>
          <w:i/>
          <w:iCs/>
          <w:color w:val="374151"/>
          <w:sz w:val="20"/>
          <w:szCs w:val="20"/>
        </w:rPr>
        <w:t xml:space="preserve">This spec is the single dependency standing between us and a generalized, all-condition model.</w:t>
      </w:r>
    </w:p>
    <w:p>
      <w:pPr>
        <w:pStyle w:val="Heading1"/>
        <w:pBdr>
          <w:bottom w:val="single" w:color="0F2A4A" w:sz="8" w:space="4"/>
        </w:pBdr>
        <w:spacing w:after="160" w:before="80"/>
      </w:pPr>
      <w:r>
        <w:rPr>
          <w:b/>
          <w:bCs/>
          <w:color w:val="0F2A4A"/>
        </w:rPr>
        <w:t xml:space="preserve">Closing</w:t>
      </w:r>
    </w:p>
    <w:p>
      <w:pPr>
        <w:spacing w:after="160" w:line="300"/>
      </w:pPr>
      <w:r>
        <w:rPr>
          <w:sz w:val="23"/>
          <w:szCs w:val="23"/>
        </w:rPr>
        <w:t xml:space="preserve">That's everything for this sprint: four shipped capabilities that make the platform secure, usable day-to-day, and clinically responsive, plus the specification that's gating our next model milestone. Happy to answer questions or go deeper on any of these.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Readmission Project — Presentation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2026-07-30T02:32:25.889Z</dcterms:created>
  <dcterms:modified xsi:type="dcterms:W3CDTF">2026-07-30T02:32:25.895Z</dcterms:modified>
</cp:coreProperties>
</file>

<file path=docProps/custom.xml><?xml version="1.0" encoding="utf-8"?>
<Properties xmlns="http://schemas.openxmlformats.org/officeDocument/2006/custom-properties" xmlns:vt="http://schemas.openxmlformats.org/officeDocument/2006/docPropsVTypes"/>
</file>