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42B1C" w14:textId="77777777" w:rsidR="000813A3" w:rsidRPr="000813A3" w:rsidRDefault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4CB677B7" w14:textId="6ACB53E3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Appendix X — Methodological Pipeline for Text Standardisation, Category Mapping, and Scoring</w:t>
      </w:r>
    </w:p>
    <w:p w14:paraId="06B62A37" w14:textId="77777777" w:rsidR="00986783" w:rsidRDefault="0098678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</w:p>
    <w:p w14:paraId="0F1B7B41" w14:textId="565558BA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This pipeline was applied uniformly to all governance dimensions in this study</w:t>
      </w:r>
      <w:r w:rsidR="00A63EFC">
        <w:rPr>
          <w:rFonts w:asciiTheme="minorHAnsi" w:hAnsiTheme="minorHAnsi" w:cstheme="minorHAnsi"/>
          <w:color w:val="1F3864" w:themeColor="accent1" w:themeShade="80"/>
        </w:rPr>
        <w:t>: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Spatial Jurisdiction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,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Subject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noBreakHyphen/>
        <w:t>Matter Jurisdiction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,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Defined Objectives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,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Strategies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,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Inter</w:t>
      </w:r>
      <w:r w:rsidR="00A63EFC">
        <w:rPr>
          <w:rFonts w:asciiTheme="minorHAnsi" w:hAnsiTheme="minorHAnsi" w:cstheme="minorHAnsi"/>
          <w:i/>
          <w:iCs/>
          <w:color w:val="1F3864" w:themeColor="accent1" w:themeShade="80"/>
        </w:rPr>
        <w:t>i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nstitutional Relationships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,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Vertical/Horizontal Coordination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, and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Sources of Jurisdiction</w:t>
      </w:r>
      <w:r w:rsidRPr="000813A3">
        <w:rPr>
          <w:rFonts w:asciiTheme="minorHAnsi" w:hAnsiTheme="minorHAnsi" w:cstheme="minorHAnsi"/>
          <w:color w:val="1F3864" w:themeColor="accent1" w:themeShade="80"/>
        </w:rPr>
        <w:t>.</w:t>
      </w:r>
      <w:r w:rsidRPr="000813A3">
        <w:rPr>
          <w:rFonts w:asciiTheme="minorHAnsi" w:hAnsiTheme="minorHAnsi" w:cstheme="minorHAnsi"/>
          <w:color w:val="1F3864" w:themeColor="accent1" w:themeShade="80"/>
        </w:rPr>
        <w:br/>
        <w:t>Attribute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>specific variations were strictly limited to:</w:t>
      </w:r>
    </w:p>
    <w:p w14:paraId="2C5422F0" w14:textId="77777777" w:rsidR="000813A3" w:rsidRPr="000813A3" w:rsidRDefault="000813A3" w:rsidP="000813A3">
      <w:pPr>
        <w:numPr>
          <w:ilvl w:val="0"/>
          <w:numId w:val="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The </w:t>
      </w: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 xml:space="preserve">category </w:t>
      </w:r>
      <w:proofErr w:type="gramStart"/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lexicon</w:t>
      </w:r>
      <w:r w:rsidRPr="000813A3">
        <w:rPr>
          <w:rFonts w:asciiTheme="minorHAnsi" w:hAnsiTheme="minorHAnsi" w:cstheme="minorHAnsi"/>
          <w:color w:val="1F3864" w:themeColor="accent1" w:themeShade="80"/>
        </w:rPr>
        <w:t>;</w:t>
      </w:r>
      <w:proofErr w:type="gramEnd"/>
    </w:p>
    <w:p w14:paraId="32CD1F1D" w14:textId="77777777" w:rsidR="000813A3" w:rsidRPr="000813A3" w:rsidRDefault="000813A3" w:rsidP="000813A3">
      <w:pPr>
        <w:numPr>
          <w:ilvl w:val="0"/>
          <w:numId w:val="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The </w:t>
      </w: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domain</w:t>
      </w: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noBreakHyphen/>
        <w:t xml:space="preserve">specific </w:t>
      </w:r>
      <w:proofErr w:type="spellStart"/>
      <w:proofErr w:type="gramStart"/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stoplist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>;</w:t>
      </w:r>
      <w:proofErr w:type="gramEnd"/>
    </w:p>
    <w:p w14:paraId="022F71C8" w14:textId="77777777" w:rsidR="000813A3" w:rsidRPr="000813A3" w:rsidRDefault="000813A3" w:rsidP="000813A3">
      <w:pPr>
        <w:numPr>
          <w:ilvl w:val="0"/>
          <w:numId w:val="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Tier weighting logic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 for scoring.</w:t>
      </w:r>
      <w:r w:rsidRPr="000813A3">
        <w:rPr>
          <w:rFonts w:asciiTheme="minorHAnsi" w:hAnsiTheme="minorHAnsi" w:cstheme="minorHAnsi"/>
          <w:color w:val="1F3864" w:themeColor="accent1" w:themeShade="80"/>
        </w:rPr>
        <w:br/>
        <w:t>All other stages — evidence capture, hybrid scoring, and dual normalisation — were identical.</w:t>
      </w:r>
    </w:p>
    <w:p w14:paraId="712CBBC0" w14:textId="4C6FB09B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5C2BBA7F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1. Data Inputs and Alignment</w:t>
      </w:r>
    </w:p>
    <w:p w14:paraId="149E93C0" w14:textId="77777777" w:rsidR="000813A3" w:rsidRPr="000813A3" w:rsidRDefault="000813A3" w:rsidP="000813A3">
      <w:pPr>
        <w:numPr>
          <w:ilvl w:val="0"/>
          <w:numId w:val="8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RAW</w:t>
      </w:r>
      <w:r w:rsidRPr="000813A3">
        <w:rPr>
          <w:rFonts w:asciiTheme="minorHAnsi" w:hAnsiTheme="minorHAnsi" w:cstheme="minorHAnsi"/>
          <w:color w:val="1F3864" w:themeColor="accent1" w:themeShade="80"/>
        </w:rPr>
        <w:t>: verbatim descriptions of the attribute for each IGO.</w:t>
      </w:r>
    </w:p>
    <w:p w14:paraId="2296D8A9" w14:textId="77777777" w:rsidR="000813A3" w:rsidRPr="000813A3" w:rsidRDefault="000813A3" w:rsidP="000813A3">
      <w:pPr>
        <w:numPr>
          <w:ilvl w:val="0"/>
          <w:numId w:val="8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CLEAN</w:t>
      </w:r>
      <w:r w:rsidRPr="000813A3">
        <w:rPr>
          <w:rFonts w:asciiTheme="minorHAnsi" w:hAnsiTheme="minorHAnsi" w:cstheme="minorHAnsi"/>
          <w:color w:val="1F3864" w:themeColor="accent1" w:themeShade="80"/>
        </w:rPr>
        <w:t>: reviewed and validated coding with authoritative category presence/absence and a 0–10 ordinal score.</w:t>
      </w:r>
    </w:p>
    <w:p w14:paraId="10028FCF" w14:textId="77777777" w:rsidR="000813A3" w:rsidRPr="000813A3" w:rsidRDefault="000813A3" w:rsidP="000813A3">
      <w:pPr>
        <w:numPr>
          <w:ilvl w:val="0"/>
          <w:numId w:val="8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Institution names 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canonicalised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 xml:space="preserve"> to avoid duplication; merges made by name match.</w:t>
      </w:r>
    </w:p>
    <w:p w14:paraId="4D53A575" w14:textId="77777777" w:rsidR="000813A3" w:rsidRPr="000813A3" w:rsidRDefault="000813A3" w:rsidP="000813A3">
      <w:pPr>
        <w:numPr>
          <w:ilvl w:val="0"/>
          <w:numId w:val="8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CLEAN classifications are definitive; RAW provides the evidentiary base for expert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>adjudicated coding (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Krippendorff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>, 2019; Schreier, 2012).</w:t>
      </w:r>
    </w:p>
    <w:p w14:paraId="1CFF4842" w14:textId="0E9C0CDC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0883BBC9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2. Text Preparation</w:t>
      </w:r>
    </w:p>
    <w:p w14:paraId="40C7BD26" w14:textId="77777777" w:rsidR="000813A3" w:rsidRPr="000813A3" w:rsidRDefault="000813A3" w:rsidP="000813A3">
      <w:pPr>
        <w:numPr>
          <w:ilvl w:val="0"/>
          <w:numId w:val="9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Lower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>case all tokens.</w:t>
      </w:r>
    </w:p>
    <w:p w14:paraId="49B03E4F" w14:textId="77777777" w:rsidR="000813A3" w:rsidRPr="000813A3" w:rsidRDefault="000813A3" w:rsidP="000813A3">
      <w:pPr>
        <w:numPr>
          <w:ilvl w:val="0"/>
          <w:numId w:val="9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Remove URLs, non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alphanumerics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 xml:space="preserve"> (preserve spaces), and extra whitespace.</w:t>
      </w:r>
    </w:p>
    <w:p w14:paraId="09533EEF" w14:textId="77777777" w:rsidR="000813A3" w:rsidRPr="000813A3" w:rsidRDefault="000813A3" w:rsidP="000813A3">
      <w:pPr>
        <w:numPr>
          <w:ilvl w:val="0"/>
          <w:numId w:val="9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Tokenise and remove general + domain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 xml:space="preserve">specific 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stopwords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>.</w:t>
      </w:r>
    </w:p>
    <w:p w14:paraId="59A20F52" w14:textId="77777777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Retained per document: (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i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>) cleaned token list, (ii) token frequencies, (iii) original verbatim text.</w:t>
      </w:r>
    </w:p>
    <w:p w14:paraId="393294FB" w14:textId="13A5FA5D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648A3301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3. Category Framework</w:t>
      </w:r>
    </w:p>
    <w:p w14:paraId="24D394B1" w14:textId="77777777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Categories derive from authoritative legal instruments, organisational charters, and peer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>reviewed typologies (e.g. UNCLOS, 1982; OECD, 2020; Rochette et al., 2015). Each attribute applies its own category set while maintaining mutually exclusive coding rules; overlaps are documented.</w:t>
      </w:r>
    </w:p>
    <w:p w14:paraId="63FC1048" w14:textId="7485F8A3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58098D05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4. Lexicon Development and Matching</w:t>
      </w:r>
    </w:p>
    <w:p w14:paraId="0173E41E" w14:textId="77777777" w:rsidR="000813A3" w:rsidRPr="000813A3" w:rsidRDefault="000813A3" w:rsidP="000813A3">
      <w:pPr>
        <w:numPr>
          <w:ilvl w:val="0"/>
          <w:numId w:val="10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Rule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>based lexicon mapping phrases, synonyms, abbreviations to categories.</w:t>
      </w:r>
    </w:p>
    <w:p w14:paraId="56030A92" w14:textId="77777777" w:rsidR="000813A3" w:rsidRPr="000813A3" w:rsidRDefault="000813A3" w:rsidP="000813A3">
      <w:pPr>
        <w:numPr>
          <w:ilvl w:val="0"/>
          <w:numId w:val="10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Matching precedence: </w:t>
      </w: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Phrase → Token → Abbreviation</w:t>
      </w:r>
      <w:r w:rsidRPr="000813A3">
        <w:rPr>
          <w:rFonts w:asciiTheme="minorHAnsi" w:hAnsiTheme="minorHAnsi" w:cstheme="minorHAnsi"/>
          <w:color w:val="1F3864" w:themeColor="accent1" w:themeShade="80"/>
        </w:rPr>
        <w:t>.</w:t>
      </w:r>
    </w:p>
    <w:p w14:paraId="4DB95B4E" w14:textId="77777777" w:rsidR="000813A3" w:rsidRPr="000813A3" w:rsidRDefault="000813A3" w:rsidP="000813A3">
      <w:pPr>
        <w:numPr>
          <w:ilvl w:val="0"/>
          <w:numId w:val="10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Log all triggers; capture ≤ 3 keyword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>in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>context (KWIC) snippets (±40 chars) for audit (Baker, 2006).</w:t>
      </w:r>
    </w:p>
    <w:p w14:paraId="5AF0A397" w14:textId="7389476C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5CC0B30B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5. Evidence Extraction</w:t>
      </w:r>
    </w:p>
    <w:p w14:paraId="67A18902" w14:textId="77777777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For each IGO × category:</w:t>
      </w:r>
    </w:p>
    <w:p w14:paraId="3B11EDAA" w14:textId="77777777" w:rsidR="000813A3" w:rsidRPr="000813A3" w:rsidRDefault="000813A3" w:rsidP="000813A3">
      <w:pPr>
        <w:numPr>
          <w:ilvl w:val="0"/>
          <w:numId w:val="11"/>
        </w:numPr>
        <w:rPr>
          <w:rFonts w:asciiTheme="minorHAnsi" w:hAnsiTheme="minorHAnsi" w:cstheme="minorHAnsi"/>
          <w:color w:val="1F3864" w:themeColor="accent1" w:themeShade="80"/>
        </w:rPr>
      </w:pP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Trigger_Keywords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 xml:space="preserve">, 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KWIC_Evidence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 xml:space="preserve">, 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Raw_Freq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 xml:space="preserve">, and 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TFIDF_Weight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>.</w:t>
      </w:r>
    </w:p>
    <w:p w14:paraId="39D767BA" w14:textId="77777777" w:rsidR="000813A3" w:rsidRPr="000813A3" w:rsidRDefault="000813A3" w:rsidP="000813A3">
      <w:pPr>
        <w:numPr>
          <w:ilvl w:val="0"/>
          <w:numId w:val="11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$$\text{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idf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>} = \log\frac{N+</w:t>
      </w:r>
      <w:proofErr w:type="gramStart"/>
      <w:r w:rsidRPr="000813A3">
        <w:rPr>
          <w:rFonts w:asciiTheme="minorHAnsi" w:hAnsiTheme="minorHAnsi" w:cstheme="minorHAnsi"/>
          <w:color w:val="1F3864" w:themeColor="accent1" w:themeShade="80"/>
        </w:rPr>
        <w:t>1}{</w:t>
      </w:r>
      <w:proofErr w:type="gramEnd"/>
      <w:r w:rsidRPr="000813A3">
        <w:rPr>
          <w:rFonts w:asciiTheme="minorHAnsi" w:hAnsiTheme="minorHAnsi" w:cstheme="minorHAnsi"/>
          <w:color w:val="1F3864" w:themeColor="accent1" w:themeShade="80"/>
        </w:rPr>
        <w:t>df+1} + 1$$ (Salton &amp; Buckley, 1988).</w:t>
      </w:r>
    </w:p>
    <w:p w14:paraId="4E6BE31C" w14:textId="3F5DEE16" w:rsidR="000813A3" w:rsidRDefault="000813A3" w:rsidP="000813A3">
      <w:pPr>
        <w:numPr>
          <w:ilvl w:val="0"/>
          <w:numId w:val="11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Authoritative presence set from CLEAN; RAW retained to justify.</w:t>
      </w:r>
    </w:p>
    <w:p w14:paraId="7E044E52" w14:textId="77777777" w:rsidR="00A93971" w:rsidRPr="000813A3" w:rsidRDefault="00A93971" w:rsidP="00A93971">
      <w:pPr>
        <w:rPr>
          <w:rFonts w:asciiTheme="minorHAnsi" w:hAnsiTheme="minorHAnsi" w:cstheme="minorHAnsi"/>
          <w:color w:val="1F3864" w:themeColor="accent1" w:themeShade="80"/>
        </w:rPr>
      </w:pPr>
    </w:p>
    <w:p w14:paraId="1BF48569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lastRenderedPageBreak/>
        <w:t>6. Scoring</w:t>
      </w:r>
    </w:p>
    <w:p w14:paraId="0EAED7A0" w14:textId="77777777" w:rsidR="000813A3" w:rsidRPr="000813A3" w:rsidRDefault="000813A3" w:rsidP="000813A3">
      <w:pPr>
        <w:numPr>
          <w:ilvl w:val="0"/>
          <w:numId w:val="12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Presence bonus: 1 if present in CLEAN, else 0.</w:t>
      </w:r>
    </w:p>
    <w:p w14:paraId="6492DDBB" w14:textId="77777777" w:rsidR="000813A3" w:rsidRPr="000813A3" w:rsidRDefault="000813A3" w:rsidP="000813A3">
      <w:pPr>
        <w:numPr>
          <w:ilvl w:val="0"/>
          <w:numId w:val="12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Salience term: </w:t>
      </w:r>
      <w:proofErr w:type="gramStart"/>
      <w:r w:rsidRPr="000813A3">
        <w:rPr>
          <w:rFonts w:asciiTheme="minorHAnsi" w:hAnsiTheme="minorHAnsi" w:cstheme="minorHAnsi"/>
          <w:color w:val="1F3864" w:themeColor="accent1" w:themeShade="80"/>
        </w:rPr>
        <w:t>min(</w:t>
      </w:r>
      <w:proofErr w:type="spellStart"/>
      <w:proofErr w:type="gramEnd"/>
      <w:r w:rsidRPr="000813A3">
        <w:rPr>
          <w:rFonts w:asciiTheme="minorHAnsi" w:hAnsiTheme="minorHAnsi" w:cstheme="minorHAnsi"/>
          <w:color w:val="1F3864" w:themeColor="accent1" w:themeShade="80"/>
        </w:rPr>
        <w:t>Raw_Freq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>, 5).</w:t>
      </w:r>
    </w:p>
    <w:p w14:paraId="71512925" w14:textId="77777777" w:rsidR="000813A3" w:rsidRPr="000813A3" w:rsidRDefault="000813A3" w:rsidP="000813A3">
      <w:pPr>
        <w:numPr>
          <w:ilvl w:val="0"/>
          <w:numId w:val="12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Tier weight: attribute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 xml:space="preserve">specific hierarchy (e.g., for spatial remit, Internal Waters &lt; EEZ &lt; High Seas &lt;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The Area</w:t>
      </w:r>
      <w:r w:rsidRPr="000813A3">
        <w:rPr>
          <w:rFonts w:asciiTheme="minorHAnsi" w:hAnsiTheme="minorHAnsi" w:cstheme="minorHAnsi"/>
          <w:color w:val="1F3864" w:themeColor="accent1" w:themeShade="80"/>
        </w:rPr>
        <w:t>).</w:t>
      </w:r>
    </w:p>
    <w:p w14:paraId="51A464F4" w14:textId="77777777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Hybrid score = Presence + capped frequency + tier weight.</w:t>
      </w:r>
    </w:p>
    <w:p w14:paraId="2AC1CFDD" w14:textId="6FE3D161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6850285A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7. Normalisation</w:t>
      </w:r>
    </w:p>
    <w:p w14:paraId="6628E114" w14:textId="77777777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Two scaled variants:</w:t>
      </w:r>
    </w:p>
    <w:p w14:paraId="494FBB0B" w14:textId="77777777" w:rsidR="000813A3" w:rsidRPr="000813A3" w:rsidRDefault="000813A3" w:rsidP="000813A3">
      <w:pPr>
        <w:numPr>
          <w:ilvl w:val="0"/>
          <w:numId w:val="13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Within</w:t>
      </w: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noBreakHyphen/>
        <w:t>IGO (0–10)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 — relative emphasis within the organisation.</w:t>
      </w:r>
    </w:p>
    <w:p w14:paraId="12C77BBA" w14:textId="77777777" w:rsidR="000813A3" w:rsidRPr="000813A3" w:rsidRDefault="000813A3" w:rsidP="000813A3">
      <w:pPr>
        <w:numPr>
          <w:ilvl w:val="0"/>
          <w:numId w:val="13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Across</w:t>
      </w: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noBreakHyphen/>
        <w:t>IGO (0–10)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 — absolute breadth/intensity across corpus (Jolliffe &amp; 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Cadima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>, 2016).</w:t>
      </w:r>
    </w:p>
    <w:p w14:paraId="09E2432C" w14:textId="11E464B0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4837B617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8. Outputs</w:t>
      </w:r>
    </w:p>
    <w:p w14:paraId="1C5178A8" w14:textId="77777777" w:rsidR="000813A3" w:rsidRPr="000813A3" w:rsidRDefault="000813A3" w:rsidP="000813A3">
      <w:pPr>
        <w:numPr>
          <w:ilvl w:val="0"/>
          <w:numId w:val="14"/>
        </w:numPr>
        <w:rPr>
          <w:rFonts w:asciiTheme="minorHAnsi" w:hAnsiTheme="minorHAnsi" w:cstheme="minorHAnsi"/>
          <w:color w:val="1F3864" w:themeColor="accent1" w:themeShade="80"/>
        </w:rPr>
      </w:pPr>
      <w:proofErr w:type="spellStart"/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Traceability_Long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 xml:space="preserve"> (audit trail; multiple rows per IGO).</w:t>
      </w:r>
    </w:p>
    <w:p w14:paraId="7C8E98DF" w14:textId="77777777" w:rsidR="000813A3" w:rsidRPr="000813A3" w:rsidRDefault="000813A3" w:rsidP="000813A3">
      <w:pPr>
        <w:numPr>
          <w:ilvl w:val="0"/>
          <w:numId w:val="14"/>
        </w:numPr>
        <w:rPr>
          <w:rFonts w:asciiTheme="minorHAnsi" w:hAnsiTheme="minorHAnsi" w:cstheme="minorHAnsi"/>
          <w:color w:val="1F3864" w:themeColor="accent1" w:themeShade="80"/>
        </w:rPr>
      </w:pPr>
      <w:proofErr w:type="spellStart"/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Matrix_Wide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 xml:space="preserve"> (analysis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>ready; one row per IGO).</w:t>
      </w:r>
    </w:p>
    <w:p w14:paraId="058BAD09" w14:textId="01F75D61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5A79D5B6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9. Quality Assurance</w:t>
      </w:r>
    </w:p>
    <w:p w14:paraId="0F087DBD" w14:textId="77777777" w:rsidR="000813A3" w:rsidRPr="000813A3" w:rsidRDefault="000813A3" w:rsidP="000813A3">
      <w:pPr>
        <w:numPr>
          <w:ilvl w:val="0"/>
          <w:numId w:val="15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Canonical name harmonisation.</w:t>
      </w:r>
    </w:p>
    <w:p w14:paraId="53CC6E3C" w14:textId="77777777" w:rsidR="000813A3" w:rsidRPr="000813A3" w:rsidRDefault="000813A3" w:rsidP="000813A3">
      <w:pPr>
        <w:numPr>
          <w:ilvl w:val="0"/>
          <w:numId w:val="15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Artefact stripping.</w:t>
      </w:r>
    </w:p>
    <w:p w14:paraId="64ADE4F0" w14:textId="77777777" w:rsidR="000813A3" w:rsidRPr="000813A3" w:rsidRDefault="000813A3" w:rsidP="000813A3">
      <w:pPr>
        <w:numPr>
          <w:ilvl w:val="0"/>
          <w:numId w:val="15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Manual overrides flagged; RAW evidence retained.</w:t>
      </w:r>
    </w:p>
    <w:p w14:paraId="7E34AFAA" w14:textId="77777777" w:rsidR="000813A3" w:rsidRPr="000813A3" w:rsidRDefault="000813A3" w:rsidP="000813A3">
      <w:pPr>
        <w:numPr>
          <w:ilvl w:val="0"/>
          <w:numId w:val="15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Sensitivity checks: remove tier weights, TF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>IDF only, alternative scaling.</w:t>
      </w:r>
    </w:p>
    <w:p w14:paraId="4643FCDA" w14:textId="09C5F083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394806D8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10. Defensibility</w:t>
      </w:r>
    </w:p>
    <w:p w14:paraId="1B3B6988" w14:textId="77777777" w:rsidR="000813A3" w:rsidRPr="000813A3" w:rsidRDefault="000813A3" w:rsidP="000813A3">
      <w:pPr>
        <w:numPr>
          <w:ilvl w:val="0"/>
          <w:numId w:val="16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Legal</w:t>
      </w:r>
      <w:r w:rsidRPr="000813A3">
        <w:rPr>
          <w:rFonts w:asciiTheme="minorHAnsi" w:hAnsiTheme="minorHAnsi" w:cstheme="minorHAnsi"/>
          <w:color w:val="1F3864" w:themeColor="accent1" w:themeShade="80"/>
        </w:rPr>
        <w:t>: categories anchored in treaties, charters, or standard governance taxonomies.</w:t>
      </w:r>
    </w:p>
    <w:p w14:paraId="514C50CF" w14:textId="77777777" w:rsidR="000813A3" w:rsidRPr="000813A3" w:rsidRDefault="000813A3" w:rsidP="000813A3">
      <w:pPr>
        <w:numPr>
          <w:ilvl w:val="0"/>
          <w:numId w:val="16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Transparent</w:t>
      </w:r>
      <w:r w:rsidRPr="000813A3">
        <w:rPr>
          <w:rFonts w:asciiTheme="minorHAnsi" w:hAnsiTheme="minorHAnsi" w:cstheme="minorHAnsi"/>
          <w:color w:val="1F3864" w:themeColor="accent1" w:themeShade="80"/>
        </w:rPr>
        <w:t>: KWIC and trigger logs for every assignment.</w:t>
      </w:r>
    </w:p>
    <w:p w14:paraId="77C4FD32" w14:textId="77777777" w:rsidR="000813A3" w:rsidRPr="000813A3" w:rsidRDefault="000813A3" w:rsidP="000813A3">
      <w:pPr>
        <w:numPr>
          <w:ilvl w:val="0"/>
          <w:numId w:val="16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Methodologically orthodox</w:t>
      </w:r>
      <w:r w:rsidRPr="000813A3">
        <w:rPr>
          <w:rFonts w:asciiTheme="minorHAnsi" w:hAnsiTheme="minorHAnsi" w:cstheme="minorHAnsi"/>
          <w:color w:val="1F3864" w:themeColor="accent1" w:themeShade="80"/>
        </w:rPr>
        <w:t>: aligns with established content analysis and IR practices (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Krippendorff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>, 2019; Manning et al., 2008).</w:t>
      </w:r>
    </w:p>
    <w:p w14:paraId="5B326BDC" w14:textId="09A893C2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3860CB23" w14:textId="77777777" w:rsidR="000813A3" w:rsidRPr="000813A3" w:rsidRDefault="000813A3" w:rsidP="000813A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Table X.1 — Attribute</w:t>
      </w: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noBreakHyphen/>
        <w:t>Specific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383"/>
        <w:gridCol w:w="1760"/>
        <w:gridCol w:w="2485"/>
      </w:tblGrid>
      <w:tr w:rsidR="000813A3" w:rsidRPr="000813A3" w14:paraId="331B367E" w14:textId="77777777" w:rsidTr="000813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DCCFC" w14:textId="77777777" w:rsidR="000813A3" w:rsidRPr="000813A3" w:rsidRDefault="000813A3" w:rsidP="000813A3">
            <w:pPr>
              <w:rPr>
                <w:rFonts w:asciiTheme="minorHAnsi" w:hAnsiTheme="minorHAnsi" w:cstheme="minorHAnsi"/>
                <w:b/>
                <w:bCs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b/>
                <w:bCs/>
                <w:color w:val="1F3864" w:themeColor="accent1" w:themeShade="80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D8DE67E" w14:textId="77777777" w:rsidR="000813A3" w:rsidRPr="000813A3" w:rsidRDefault="000813A3" w:rsidP="000813A3">
            <w:pPr>
              <w:rPr>
                <w:rFonts w:asciiTheme="minorHAnsi" w:hAnsiTheme="minorHAnsi" w:cstheme="minorHAnsi"/>
                <w:b/>
                <w:bCs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b/>
                <w:bCs/>
                <w:color w:val="1F3864" w:themeColor="accent1" w:themeShade="80"/>
              </w:rPr>
              <w:t>Category Lexicon Sources</w:t>
            </w:r>
          </w:p>
        </w:tc>
        <w:tc>
          <w:tcPr>
            <w:tcW w:w="0" w:type="auto"/>
            <w:vAlign w:val="center"/>
            <w:hideMark/>
          </w:tcPr>
          <w:p w14:paraId="57D04EDB" w14:textId="77777777" w:rsidR="000813A3" w:rsidRPr="000813A3" w:rsidRDefault="000813A3" w:rsidP="000813A3">
            <w:pPr>
              <w:rPr>
                <w:rFonts w:asciiTheme="minorHAnsi" w:hAnsiTheme="minorHAnsi" w:cstheme="minorHAnsi"/>
                <w:b/>
                <w:bCs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b/>
                <w:bCs/>
                <w:color w:val="1F3864" w:themeColor="accent1" w:themeShade="80"/>
              </w:rPr>
              <w:t xml:space="preserve">Domain </w:t>
            </w:r>
            <w:proofErr w:type="spellStart"/>
            <w:r w:rsidRPr="000813A3">
              <w:rPr>
                <w:rFonts w:asciiTheme="minorHAnsi" w:hAnsiTheme="minorHAnsi" w:cstheme="minorHAnsi"/>
                <w:b/>
                <w:bCs/>
                <w:color w:val="1F3864" w:themeColor="accent1" w:themeShade="80"/>
              </w:rPr>
              <w:t>Stoplist</w:t>
            </w:r>
            <w:proofErr w:type="spellEnd"/>
            <w:r w:rsidRPr="000813A3">
              <w:rPr>
                <w:rFonts w:asciiTheme="minorHAnsi" w:hAnsiTheme="minorHAnsi" w:cstheme="minorHAnsi"/>
                <w:b/>
                <w:bCs/>
                <w:color w:val="1F3864" w:themeColor="accent1" w:themeShade="80"/>
              </w:rPr>
              <w:t xml:space="preserve"> Examples</w:t>
            </w:r>
          </w:p>
        </w:tc>
        <w:tc>
          <w:tcPr>
            <w:tcW w:w="0" w:type="auto"/>
            <w:vAlign w:val="center"/>
            <w:hideMark/>
          </w:tcPr>
          <w:p w14:paraId="6D6E14A7" w14:textId="77777777" w:rsidR="000813A3" w:rsidRPr="000813A3" w:rsidRDefault="000813A3" w:rsidP="000813A3">
            <w:pPr>
              <w:rPr>
                <w:rFonts w:asciiTheme="minorHAnsi" w:hAnsiTheme="minorHAnsi" w:cstheme="minorHAnsi"/>
                <w:b/>
                <w:bCs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b/>
                <w:bCs/>
                <w:color w:val="1F3864" w:themeColor="accent1" w:themeShade="80"/>
              </w:rPr>
              <w:t>Tier Weight Logic Sources</w:t>
            </w:r>
          </w:p>
        </w:tc>
      </w:tr>
      <w:tr w:rsidR="000813A3" w:rsidRPr="000813A3" w14:paraId="5527CA45" w14:textId="77777777" w:rsidTr="0008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41F0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Spatial Jurisdiction</w:t>
            </w:r>
          </w:p>
        </w:tc>
        <w:tc>
          <w:tcPr>
            <w:tcW w:w="0" w:type="auto"/>
            <w:vAlign w:val="center"/>
            <w:hideMark/>
          </w:tcPr>
          <w:p w14:paraId="291C5693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UNCLOS; NOAA; ISA</w:t>
            </w:r>
          </w:p>
        </w:tc>
        <w:tc>
          <w:tcPr>
            <w:tcW w:w="0" w:type="auto"/>
            <w:vAlign w:val="center"/>
            <w:hideMark/>
          </w:tcPr>
          <w:p w14:paraId="3F321CB2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programme</w:t>
            </w: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 xml:space="preserve">, </w:t>
            </w: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14:paraId="0083A399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UNCLOS maritime breadth</w:t>
            </w:r>
          </w:p>
        </w:tc>
      </w:tr>
      <w:tr w:rsidR="000813A3" w:rsidRPr="000813A3" w14:paraId="0E37D722" w14:textId="77777777" w:rsidTr="0008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A0EA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Subject</w:t>
            </w: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noBreakHyphen/>
              <w:t>Matter Jurisdiction</w:t>
            </w:r>
          </w:p>
        </w:tc>
        <w:tc>
          <w:tcPr>
            <w:tcW w:w="0" w:type="auto"/>
            <w:vAlign w:val="center"/>
            <w:hideMark/>
          </w:tcPr>
          <w:p w14:paraId="5835333B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OECD; Rochette et al. (2015)</w:t>
            </w:r>
          </w:p>
        </w:tc>
        <w:tc>
          <w:tcPr>
            <w:tcW w:w="0" w:type="auto"/>
            <w:vAlign w:val="center"/>
            <w:hideMark/>
          </w:tcPr>
          <w:p w14:paraId="0BFB52CD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issues</w:t>
            </w: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 xml:space="preserve">, </w:t>
            </w: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43A43952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Thematic scope breadth</w:t>
            </w:r>
          </w:p>
        </w:tc>
      </w:tr>
      <w:tr w:rsidR="000813A3" w:rsidRPr="000813A3" w14:paraId="009683EE" w14:textId="77777777" w:rsidTr="0008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ECC0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Defined Objectives</w:t>
            </w:r>
          </w:p>
        </w:tc>
        <w:tc>
          <w:tcPr>
            <w:tcW w:w="0" w:type="auto"/>
            <w:vAlign w:val="center"/>
            <w:hideMark/>
          </w:tcPr>
          <w:p w14:paraId="623B3A78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Rochette et al.; FAO Strategic Framework</w:t>
            </w:r>
          </w:p>
        </w:tc>
        <w:tc>
          <w:tcPr>
            <w:tcW w:w="0" w:type="auto"/>
            <w:vAlign w:val="center"/>
            <w:hideMark/>
          </w:tcPr>
          <w:p w14:paraId="153EFAB1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goal</w:t>
            </w: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 xml:space="preserve">, </w:t>
            </w: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C241DC3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Strategic → operational</w:t>
            </w:r>
          </w:p>
        </w:tc>
      </w:tr>
      <w:tr w:rsidR="000813A3" w:rsidRPr="000813A3" w14:paraId="79F81207" w14:textId="77777777" w:rsidTr="0008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FCE1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Strategies</w:t>
            </w:r>
          </w:p>
        </w:tc>
        <w:tc>
          <w:tcPr>
            <w:tcW w:w="0" w:type="auto"/>
            <w:vAlign w:val="center"/>
            <w:hideMark/>
          </w:tcPr>
          <w:p w14:paraId="7CA51F26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FAO; OECD; UN DOCO</w:t>
            </w:r>
          </w:p>
        </w:tc>
        <w:tc>
          <w:tcPr>
            <w:tcW w:w="0" w:type="auto"/>
            <w:vAlign w:val="center"/>
            <w:hideMark/>
          </w:tcPr>
          <w:p w14:paraId="65A8F139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approach</w:t>
            </w: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 xml:space="preserve">, </w:t>
            </w: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1D3AF5E5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Implementation reach</w:t>
            </w:r>
          </w:p>
        </w:tc>
      </w:tr>
      <w:tr w:rsidR="000813A3" w:rsidRPr="000813A3" w14:paraId="5E923814" w14:textId="77777777" w:rsidTr="0008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8D74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Inter</w:t>
            </w: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noBreakHyphen/>
              <w:t>Institutional Relationships</w:t>
            </w:r>
          </w:p>
        </w:tc>
        <w:tc>
          <w:tcPr>
            <w:tcW w:w="0" w:type="auto"/>
            <w:vAlign w:val="center"/>
            <w:hideMark/>
          </w:tcPr>
          <w:p w14:paraId="5AB77F2B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UNGA Resolutions; Chircop (2019)</w:t>
            </w:r>
          </w:p>
        </w:tc>
        <w:tc>
          <w:tcPr>
            <w:tcW w:w="0" w:type="auto"/>
            <w:vAlign w:val="center"/>
            <w:hideMark/>
          </w:tcPr>
          <w:p w14:paraId="4C968144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partner</w:t>
            </w: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 xml:space="preserve">, </w:t>
            </w: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44E9F614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Network density</w:t>
            </w:r>
          </w:p>
        </w:tc>
      </w:tr>
      <w:tr w:rsidR="000813A3" w:rsidRPr="000813A3" w14:paraId="47BC32C9" w14:textId="77777777" w:rsidTr="0008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36CD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Vertical/Horizontal Coordination</w:t>
            </w:r>
          </w:p>
        </w:tc>
        <w:tc>
          <w:tcPr>
            <w:tcW w:w="0" w:type="auto"/>
            <w:vAlign w:val="center"/>
            <w:hideMark/>
          </w:tcPr>
          <w:p w14:paraId="470920A7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UNDP; multi</w:t>
            </w: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noBreakHyphen/>
              <w:t>level governance lit.</w:t>
            </w:r>
          </w:p>
        </w:tc>
        <w:tc>
          <w:tcPr>
            <w:tcW w:w="0" w:type="auto"/>
            <w:vAlign w:val="center"/>
            <w:hideMark/>
          </w:tcPr>
          <w:p w14:paraId="443679C3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tier</w:t>
            </w: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 xml:space="preserve">, </w:t>
            </w: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8EA1889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Scalar integration</w:t>
            </w:r>
          </w:p>
        </w:tc>
      </w:tr>
      <w:tr w:rsidR="000813A3" w:rsidRPr="000813A3" w14:paraId="7A31C23A" w14:textId="77777777" w:rsidTr="0008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1BF8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Sources of Jurisdiction</w:t>
            </w:r>
          </w:p>
        </w:tc>
        <w:tc>
          <w:tcPr>
            <w:tcW w:w="0" w:type="auto"/>
            <w:vAlign w:val="center"/>
            <w:hideMark/>
          </w:tcPr>
          <w:p w14:paraId="6B3EAF7D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Treaty law; organisational statutes</w:t>
            </w:r>
          </w:p>
        </w:tc>
        <w:tc>
          <w:tcPr>
            <w:tcW w:w="0" w:type="auto"/>
            <w:vAlign w:val="center"/>
            <w:hideMark/>
          </w:tcPr>
          <w:p w14:paraId="5EDF49AA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mandate</w:t>
            </w: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 xml:space="preserve">, </w:t>
            </w:r>
            <w:r w:rsidRPr="000813A3">
              <w:rPr>
                <w:rFonts w:asciiTheme="minorHAnsi" w:hAnsiTheme="minorHAnsi" w:cstheme="minorHAnsi"/>
                <w:i/>
                <w:iCs/>
                <w:color w:val="1F3864" w:themeColor="accent1" w:themeShade="80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3719F751" w14:textId="77777777" w:rsidR="000813A3" w:rsidRPr="000813A3" w:rsidRDefault="000813A3" w:rsidP="000813A3">
            <w:pPr>
              <w:rPr>
                <w:rFonts w:asciiTheme="minorHAnsi" w:hAnsiTheme="minorHAnsi" w:cstheme="minorHAnsi"/>
                <w:color w:val="1F3864" w:themeColor="accent1" w:themeShade="80"/>
              </w:rPr>
            </w:pPr>
            <w:r w:rsidRPr="000813A3">
              <w:rPr>
                <w:rFonts w:asciiTheme="minorHAnsi" w:hAnsiTheme="minorHAnsi" w:cstheme="minorHAnsi"/>
                <w:color w:val="1F3864" w:themeColor="accent1" w:themeShade="80"/>
              </w:rPr>
              <w:t>Legal authority span</w:t>
            </w:r>
          </w:p>
        </w:tc>
      </w:tr>
    </w:tbl>
    <w:p w14:paraId="61F5292C" w14:textId="23392C7F" w:rsid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3A2FA7B6" w14:textId="77777777" w:rsidR="00986783" w:rsidRDefault="00986783" w:rsidP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60C9B091" w14:textId="509CCEF9" w:rsidR="00986783" w:rsidRPr="000813A3" w:rsidRDefault="00986783" w:rsidP="000813A3">
      <w:pPr>
        <w:rPr>
          <w:rFonts w:asciiTheme="minorHAnsi" w:hAnsiTheme="minorHAnsi" w:cstheme="minorHAnsi"/>
          <w:color w:val="1F3864" w:themeColor="accent1" w:themeShade="80"/>
        </w:rPr>
      </w:pPr>
      <w:r>
        <w:rPr>
          <w:rFonts w:asciiTheme="minorHAnsi" w:hAnsiTheme="minorHAnsi" w:cstheme="minorHAnsi"/>
          <w:noProof/>
          <w:color w:val="4472C4" w:themeColor="accent1"/>
          <w14:ligatures w14:val="standardContextual"/>
        </w:rPr>
        <w:drawing>
          <wp:inline distT="0" distB="0" distL="0" distR="0" wp14:anchorId="2ABD149A" wp14:editId="5DA62BB6">
            <wp:extent cx="5731510" cy="3547534"/>
            <wp:effectExtent l="0" t="0" r="0" b="0"/>
            <wp:docPr id="88400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4666" name="Picture 884004666"/>
                    <pic:cNvPicPr/>
                  </pic:nvPicPr>
                  <pic:blipFill rotWithShape="1">
                    <a:blip r:embed="rId5"/>
                    <a:srcRect b="7152"/>
                    <a:stretch/>
                  </pic:blipFill>
                  <pic:spPr bwMode="auto">
                    <a:xfrm>
                      <a:off x="0" y="0"/>
                      <a:ext cx="5731510" cy="3547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971CD" w14:textId="636CC31A" w:rsidR="000813A3" w:rsidRPr="000813A3" w:rsidRDefault="000813A3" w:rsidP="000813A3">
      <w:p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b/>
          <w:bCs/>
          <w:color w:val="1F3864" w:themeColor="accent1" w:themeShade="80"/>
        </w:rPr>
        <w:t>References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 </w:t>
      </w:r>
      <w:r w:rsidRPr="000813A3">
        <w:rPr>
          <w:rFonts w:asciiTheme="minorHAnsi" w:hAnsiTheme="minorHAnsi" w:cstheme="minorHAnsi"/>
          <w:color w:val="1F3864" w:themeColor="accent1" w:themeShade="80"/>
        </w:rPr>
        <w:br/>
      </w:r>
    </w:p>
    <w:p w14:paraId="57CF7FC4" w14:textId="77777777" w:rsidR="000813A3" w:rsidRP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Baker, P. (2006).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Using Corpora in Discourse Analysis</w:t>
      </w:r>
      <w:r w:rsidRPr="000813A3">
        <w:rPr>
          <w:rFonts w:asciiTheme="minorHAnsi" w:hAnsiTheme="minorHAnsi" w:cstheme="minorHAnsi"/>
          <w:color w:val="1F3864" w:themeColor="accent1" w:themeShade="80"/>
        </w:rPr>
        <w:t>. Continuum.</w:t>
      </w:r>
    </w:p>
    <w:p w14:paraId="4E65682E" w14:textId="77777777" w:rsidR="000813A3" w:rsidRP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Chircop, A. (2019). International ocean governance. In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Routledge Handbook of Ocean Resources and Management</w:t>
      </w:r>
      <w:r w:rsidRPr="000813A3">
        <w:rPr>
          <w:rFonts w:asciiTheme="minorHAnsi" w:hAnsiTheme="minorHAnsi" w:cstheme="minorHAnsi"/>
          <w:color w:val="1F3864" w:themeColor="accent1" w:themeShade="80"/>
        </w:rPr>
        <w:t>. Routledge.</w:t>
      </w:r>
    </w:p>
    <w:p w14:paraId="235A8EB8" w14:textId="77777777" w:rsidR="000813A3" w:rsidRP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International Seabed Authority (ISA). (2022).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About the Area</w:t>
      </w:r>
      <w:r w:rsidRPr="000813A3">
        <w:rPr>
          <w:rFonts w:asciiTheme="minorHAnsi" w:hAnsiTheme="minorHAnsi" w:cstheme="minorHAnsi"/>
          <w:color w:val="1F3864" w:themeColor="accent1" w:themeShade="80"/>
        </w:rPr>
        <w:t>. https://www.isa.org.jm/</w:t>
      </w:r>
    </w:p>
    <w:p w14:paraId="6421F2CC" w14:textId="77777777" w:rsidR="000813A3" w:rsidRP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Jolliffe, I., &amp; 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Cadima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 xml:space="preserve">, J. (2016). Principal component analysis: A review.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Phil. Trans. Royal Soc. A</w:t>
      </w:r>
      <w:r w:rsidRPr="000813A3">
        <w:rPr>
          <w:rFonts w:asciiTheme="minorHAnsi" w:hAnsiTheme="minorHAnsi" w:cstheme="minorHAnsi"/>
          <w:color w:val="1F3864" w:themeColor="accent1" w:themeShade="80"/>
        </w:rPr>
        <w:t>, 374(2065).</w:t>
      </w:r>
    </w:p>
    <w:p w14:paraId="056C60AB" w14:textId="77777777" w:rsidR="000813A3" w:rsidRP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Krippendorff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 xml:space="preserve">, K. (2019).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Content Analysis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 (4th ed.). Sage.</w:t>
      </w:r>
    </w:p>
    <w:p w14:paraId="29C52A75" w14:textId="77777777" w:rsidR="000813A3" w:rsidRP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Manning, C. D., Raghavan, P., &amp; </w:t>
      </w:r>
      <w:proofErr w:type="spellStart"/>
      <w:r w:rsidRPr="000813A3">
        <w:rPr>
          <w:rFonts w:asciiTheme="minorHAnsi" w:hAnsiTheme="minorHAnsi" w:cstheme="minorHAnsi"/>
          <w:color w:val="1F3864" w:themeColor="accent1" w:themeShade="80"/>
        </w:rPr>
        <w:t>Schütze</w:t>
      </w:r>
      <w:proofErr w:type="spellEnd"/>
      <w:r w:rsidRPr="000813A3">
        <w:rPr>
          <w:rFonts w:asciiTheme="minorHAnsi" w:hAnsiTheme="minorHAnsi" w:cstheme="minorHAnsi"/>
          <w:color w:val="1F3864" w:themeColor="accent1" w:themeShade="80"/>
        </w:rPr>
        <w:t xml:space="preserve">, H. (2008).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Introduction to Information Retrieval</w:t>
      </w:r>
      <w:r w:rsidRPr="000813A3">
        <w:rPr>
          <w:rFonts w:asciiTheme="minorHAnsi" w:hAnsiTheme="minorHAnsi" w:cstheme="minorHAnsi"/>
          <w:color w:val="1F3864" w:themeColor="accent1" w:themeShade="80"/>
        </w:rPr>
        <w:t>. CUP.</w:t>
      </w:r>
    </w:p>
    <w:p w14:paraId="0BFA9609" w14:textId="77777777" w:rsidR="000813A3" w:rsidRP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OECD. (2020).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Sustainable Ocean for All</w:t>
      </w:r>
      <w:r w:rsidRPr="000813A3">
        <w:rPr>
          <w:rFonts w:asciiTheme="minorHAnsi" w:hAnsiTheme="minorHAnsi" w:cstheme="minorHAnsi"/>
          <w:color w:val="1F3864" w:themeColor="accent1" w:themeShade="80"/>
        </w:rPr>
        <w:t>.</w:t>
      </w:r>
    </w:p>
    <w:p w14:paraId="275A8E58" w14:textId="77777777" w:rsidR="000813A3" w:rsidRP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Rochette, J., et al. (2015).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Regional ocean governance mechanisms</w:t>
      </w:r>
      <w:r w:rsidRPr="000813A3">
        <w:rPr>
          <w:rFonts w:asciiTheme="minorHAnsi" w:hAnsiTheme="minorHAnsi" w:cstheme="minorHAnsi"/>
          <w:color w:val="1F3864" w:themeColor="accent1" w:themeShade="80"/>
        </w:rPr>
        <w:t xml:space="preserve">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Marine Policy</w:t>
      </w:r>
      <w:r w:rsidRPr="000813A3">
        <w:rPr>
          <w:rFonts w:asciiTheme="minorHAnsi" w:hAnsiTheme="minorHAnsi" w:cstheme="minorHAnsi"/>
          <w:color w:val="1F3864" w:themeColor="accent1" w:themeShade="80"/>
        </w:rPr>
        <w:t>, 60.</w:t>
      </w:r>
    </w:p>
    <w:p w14:paraId="58138CDA" w14:textId="77777777" w:rsidR="000813A3" w:rsidRP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>Salton, G., &amp; Buckley, C. (1988). Term</w:t>
      </w:r>
      <w:r w:rsidRPr="000813A3">
        <w:rPr>
          <w:rFonts w:asciiTheme="minorHAnsi" w:hAnsiTheme="minorHAnsi" w:cstheme="minorHAnsi"/>
          <w:color w:val="1F3864" w:themeColor="accent1" w:themeShade="80"/>
        </w:rPr>
        <w:noBreakHyphen/>
        <w:t xml:space="preserve">weighting approaches in automatic text retrieval.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Information Processing &amp; Management</w:t>
      </w:r>
      <w:r w:rsidRPr="000813A3">
        <w:rPr>
          <w:rFonts w:asciiTheme="minorHAnsi" w:hAnsiTheme="minorHAnsi" w:cstheme="minorHAnsi"/>
          <w:color w:val="1F3864" w:themeColor="accent1" w:themeShade="80"/>
        </w:rPr>
        <w:t>, 24(5), 513–523.</w:t>
      </w:r>
    </w:p>
    <w:p w14:paraId="010F5A98" w14:textId="77777777" w:rsidR="000813A3" w:rsidRP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Schreier, M. (2012).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Qualitative Content Analysis in Practice</w:t>
      </w:r>
      <w:r w:rsidRPr="000813A3">
        <w:rPr>
          <w:rFonts w:asciiTheme="minorHAnsi" w:hAnsiTheme="minorHAnsi" w:cstheme="minorHAnsi"/>
          <w:color w:val="1F3864" w:themeColor="accent1" w:themeShade="80"/>
        </w:rPr>
        <w:t>. Sage.</w:t>
      </w:r>
    </w:p>
    <w:p w14:paraId="45133310" w14:textId="77777777" w:rsidR="000813A3" w:rsidRDefault="000813A3" w:rsidP="000813A3">
      <w:pPr>
        <w:numPr>
          <w:ilvl w:val="0"/>
          <w:numId w:val="17"/>
        </w:numPr>
        <w:rPr>
          <w:rFonts w:asciiTheme="minorHAnsi" w:hAnsiTheme="minorHAnsi" w:cstheme="minorHAnsi"/>
          <w:color w:val="1F3864" w:themeColor="accent1" w:themeShade="80"/>
        </w:rPr>
      </w:pPr>
      <w:r w:rsidRPr="000813A3">
        <w:rPr>
          <w:rFonts w:asciiTheme="minorHAnsi" w:hAnsiTheme="minorHAnsi" w:cstheme="minorHAnsi"/>
          <w:color w:val="1F3864" w:themeColor="accent1" w:themeShade="80"/>
        </w:rPr>
        <w:t xml:space="preserve">UNCLOS. (1982). </w:t>
      </w:r>
      <w:r w:rsidRPr="000813A3">
        <w:rPr>
          <w:rFonts w:asciiTheme="minorHAnsi" w:hAnsiTheme="minorHAnsi" w:cstheme="minorHAnsi"/>
          <w:i/>
          <w:iCs/>
          <w:color w:val="1F3864" w:themeColor="accent1" w:themeShade="80"/>
        </w:rPr>
        <w:t>United Nations Convention on the Law of the Sea</w:t>
      </w:r>
      <w:r w:rsidRPr="000813A3">
        <w:rPr>
          <w:rFonts w:asciiTheme="minorHAnsi" w:hAnsiTheme="minorHAnsi" w:cstheme="minorHAnsi"/>
          <w:color w:val="1F3864" w:themeColor="accent1" w:themeShade="80"/>
        </w:rPr>
        <w:t>.</w:t>
      </w:r>
    </w:p>
    <w:p w14:paraId="47B7B1E7" w14:textId="77777777" w:rsidR="00986783" w:rsidRDefault="00986783" w:rsidP="00986783">
      <w:pPr>
        <w:rPr>
          <w:rFonts w:asciiTheme="minorHAnsi" w:hAnsiTheme="minorHAnsi" w:cstheme="minorHAnsi"/>
          <w:color w:val="1F3864" w:themeColor="accent1" w:themeShade="80"/>
        </w:rPr>
      </w:pPr>
    </w:p>
    <w:p w14:paraId="00E55014" w14:textId="77777777" w:rsidR="00986783" w:rsidRDefault="00986783" w:rsidP="00986783">
      <w:pPr>
        <w:rPr>
          <w:rFonts w:asciiTheme="minorHAnsi" w:hAnsiTheme="minorHAnsi" w:cstheme="minorHAnsi"/>
          <w:color w:val="1F3864" w:themeColor="accent1" w:themeShade="80"/>
        </w:rPr>
      </w:pPr>
    </w:p>
    <w:p w14:paraId="4AC57E52" w14:textId="24DB3528" w:rsidR="00986783" w:rsidRPr="00986783" w:rsidRDefault="00986783" w:rsidP="0098678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986783">
        <w:rPr>
          <w:rFonts w:asciiTheme="minorHAnsi" w:hAnsiTheme="minorHAnsi" w:cstheme="minorHAnsi"/>
          <w:b/>
          <w:bCs/>
          <w:color w:val="1F3864" w:themeColor="accent1" w:themeShade="80"/>
        </w:rPr>
        <w:t>Shorter version to be used in paper</w:t>
      </w:r>
    </w:p>
    <w:p w14:paraId="03D7C216" w14:textId="77777777" w:rsidR="00B276A4" w:rsidRDefault="00B276A4" w:rsidP="00986783">
      <w:pPr>
        <w:jc w:val="both"/>
        <w:rPr>
          <w:rFonts w:asciiTheme="minorHAnsi" w:hAnsiTheme="minorHAnsi" w:cstheme="minorHAnsi"/>
          <w:color w:val="1F3864" w:themeColor="accent1" w:themeShade="80"/>
        </w:rPr>
      </w:pPr>
    </w:p>
    <w:p w14:paraId="0661B4B1" w14:textId="77777777" w:rsidR="00B276A4" w:rsidRPr="00B276A4" w:rsidRDefault="00B276A4" w:rsidP="00B276A4">
      <w:pPr>
        <w:jc w:val="both"/>
        <w:rPr>
          <w:rFonts w:asciiTheme="minorHAnsi" w:hAnsiTheme="minorHAnsi" w:cstheme="minorHAnsi"/>
          <w:color w:val="1F3864" w:themeColor="accent1" w:themeShade="80"/>
        </w:rPr>
      </w:pPr>
      <w:r w:rsidRPr="00B276A4">
        <w:rPr>
          <w:rFonts w:asciiTheme="minorHAnsi" w:hAnsiTheme="minorHAnsi" w:cstheme="minorHAnsi"/>
          <w:color w:val="1F3864" w:themeColor="accent1" w:themeShade="80"/>
        </w:rPr>
        <w:t>To address the dual need for conceptual rigour and reproducible analysis, I employed a three</w:t>
      </w:r>
      <w:r w:rsidRPr="00B276A4">
        <w:rPr>
          <w:rFonts w:asciiTheme="minorHAnsi" w:hAnsiTheme="minorHAnsi" w:cstheme="minorHAnsi"/>
          <w:color w:val="1F3864" w:themeColor="accent1" w:themeShade="80"/>
        </w:rPr>
        <w:noBreakHyphen/>
        <w:t xml:space="preserve">phase pipeline designed to standardise textual inputs, map them against an established category framework, and compute composite scores. The process began by assembling raw </w:t>
      </w:r>
      <w:r w:rsidRPr="00B276A4">
        <w:rPr>
          <w:rFonts w:asciiTheme="minorHAnsi" w:hAnsiTheme="minorHAnsi" w:cstheme="minorHAnsi"/>
          <w:color w:val="1F3864" w:themeColor="accent1" w:themeShade="80"/>
        </w:rPr>
        <w:lastRenderedPageBreak/>
        <w:t>institutional descriptions alongside pre</w:t>
      </w:r>
      <w:r w:rsidRPr="00B276A4">
        <w:rPr>
          <w:rFonts w:asciiTheme="minorHAnsi" w:hAnsiTheme="minorHAnsi" w:cstheme="minorHAnsi"/>
          <w:color w:val="1F3864" w:themeColor="accent1" w:themeShade="80"/>
        </w:rPr>
        <w:noBreakHyphen/>
        <w:t>scored coding outputs, which were then aligned to ensure consistency (</w:t>
      </w:r>
      <w:proofErr w:type="spellStart"/>
      <w:r w:rsidRPr="00B276A4">
        <w:rPr>
          <w:rFonts w:asciiTheme="minorHAnsi" w:hAnsiTheme="minorHAnsi" w:cstheme="minorHAnsi"/>
          <w:color w:val="1F3864" w:themeColor="accent1" w:themeShade="80"/>
        </w:rPr>
        <w:t>Krippendorff</w:t>
      </w:r>
      <w:proofErr w:type="spellEnd"/>
      <w:r w:rsidRPr="00B276A4">
        <w:rPr>
          <w:rFonts w:asciiTheme="minorHAnsi" w:hAnsiTheme="minorHAnsi" w:cstheme="minorHAnsi"/>
          <w:color w:val="1F3864" w:themeColor="accent1" w:themeShade="80"/>
        </w:rPr>
        <w:t>, 2019; Schreier, 2012). These texts were normalised — converted to lower case, stripped of extraneous symbols such as URLs and non</w:t>
      </w:r>
      <w:r w:rsidRPr="00B276A4">
        <w:rPr>
          <w:rFonts w:asciiTheme="minorHAnsi" w:hAnsiTheme="minorHAnsi" w:cstheme="minorHAnsi"/>
          <w:color w:val="1F3864" w:themeColor="accent1" w:themeShade="80"/>
        </w:rPr>
        <w:noBreakHyphen/>
        <w:t>alphanumeric characters — and tokenised, with frequency counts preserved for subsequent weighting (LinkedIn, 2024). Categories were defined in advance, drawing from authoritative and widely recognised frameworks to maintain external validity (UNCLOS, 1982; Rochette et al., 2015).</w:t>
      </w:r>
    </w:p>
    <w:p w14:paraId="6D5DA27F" w14:textId="77777777" w:rsidR="00B276A4" w:rsidRPr="00B276A4" w:rsidRDefault="00B276A4" w:rsidP="00B276A4">
      <w:pPr>
        <w:jc w:val="both"/>
        <w:rPr>
          <w:rFonts w:asciiTheme="minorHAnsi" w:hAnsiTheme="minorHAnsi" w:cstheme="minorHAnsi"/>
          <w:color w:val="1F3864" w:themeColor="accent1" w:themeShade="80"/>
        </w:rPr>
      </w:pPr>
      <w:r w:rsidRPr="00B276A4">
        <w:rPr>
          <w:rFonts w:asciiTheme="minorHAnsi" w:hAnsiTheme="minorHAnsi" w:cstheme="minorHAnsi"/>
          <w:color w:val="1F3864" w:themeColor="accent1" w:themeShade="80"/>
        </w:rPr>
        <w:t>The analytical phase centred on a curated lexicon of terms, including synonyms and abbreviations, which was used to match and tag content within the corpus. Every triggered instance was logged with a keyword</w:t>
      </w:r>
      <w:r w:rsidRPr="00B276A4">
        <w:rPr>
          <w:rFonts w:asciiTheme="minorHAnsi" w:hAnsiTheme="minorHAnsi" w:cstheme="minorHAnsi"/>
          <w:color w:val="1F3864" w:themeColor="accent1" w:themeShade="80"/>
        </w:rPr>
        <w:noBreakHyphen/>
        <w:t>in</w:t>
      </w:r>
      <w:r w:rsidRPr="00B276A4">
        <w:rPr>
          <w:rFonts w:asciiTheme="minorHAnsi" w:hAnsiTheme="minorHAnsi" w:cstheme="minorHAnsi"/>
          <w:color w:val="1F3864" w:themeColor="accent1" w:themeShade="80"/>
        </w:rPr>
        <w:noBreakHyphen/>
        <w:t>context snippet to preserve traceability (Jolliffe &amp; </w:t>
      </w:r>
      <w:proofErr w:type="spellStart"/>
      <w:r w:rsidRPr="00B276A4">
        <w:rPr>
          <w:rFonts w:asciiTheme="minorHAnsi" w:hAnsiTheme="minorHAnsi" w:cstheme="minorHAnsi"/>
          <w:color w:val="1F3864" w:themeColor="accent1" w:themeShade="80"/>
        </w:rPr>
        <w:t>Cadima</w:t>
      </w:r>
      <w:proofErr w:type="spellEnd"/>
      <w:r w:rsidRPr="00B276A4">
        <w:rPr>
          <w:rFonts w:asciiTheme="minorHAnsi" w:hAnsiTheme="minorHAnsi" w:cstheme="minorHAnsi"/>
          <w:color w:val="1F3864" w:themeColor="accent1" w:themeShade="80"/>
        </w:rPr>
        <w:t xml:space="preserve">, 2016). Evidence extraction combined these matches with a TF–IDF weighting scheme, applying the formulation </w:t>
      </w:r>
      <w:proofErr w:type="spellStart"/>
      <w:r w:rsidRPr="00B276A4">
        <w:rPr>
          <w:rFonts w:asciiTheme="minorHAnsi" w:hAnsiTheme="minorHAnsi" w:cstheme="minorHAnsi"/>
          <w:i/>
          <w:iCs/>
          <w:color w:val="1F3864" w:themeColor="accent1" w:themeShade="80"/>
        </w:rPr>
        <w:t>idf</w:t>
      </w:r>
      <w:proofErr w:type="spellEnd"/>
      <w:r w:rsidRPr="00B276A4">
        <w:rPr>
          <w:rFonts w:asciiTheme="minorHAnsi" w:hAnsiTheme="minorHAnsi" w:cstheme="minorHAnsi"/>
          <w:color w:val="1F3864" w:themeColor="accent1" w:themeShade="80"/>
        </w:rPr>
        <w:t> = </w:t>
      </w:r>
      <w:proofErr w:type="gramStart"/>
      <w:r w:rsidRPr="00B276A4">
        <w:rPr>
          <w:rFonts w:asciiTheme="minorHAnsi" w:hAnsiTheme="minorHAnsi" w:cstheme="minorHAnsi"/>
          <w:color w:val="1F3864" w:themeColor="accent1" w:themeShade="80"/>
        </w:rPr>
        <w:t>log[</w:t>
      </w:r>
      <w:proofErr w:type="gramEnd"/>
      <w:r w:rsidRPr="00B276A4">
        <w:rPr>
          <w:rFonts w:asciiTheme="minorHAnsi" w:hAnsiTheme="minorHAnsi" w:cstheme="minorHAnsi"/>
          <w:color w:val="1F3864" w:themeColor="accent1" w:themeShade="80"/>
        </w:rPr>
        <w:t>(N + 1)/(</w:t>
      </w:r>
      <w:proofErr w:type="spellStart"/>
      <w:r w:rsidRPr="00B276A4">
        <w:rPr>
          <w:rFonts w:asciiTheme="minorHAnsi" w:hAnsiTheme="minorHAnsi" w:cstheme="minorHAnsi"/>
          <w:color w:val="1F3864" w:themeColor="accent1" w:themeShade="80"/>
        </w:rPr>
        <w:t>df</w:t>
      </w:r>
      <w:proofErr w:type="spellEnd"/>
      <w:r w:rsidRPr="00B276A4">
        <w:rPr>
          <w:rFonts w:asciiTheme="minorHAnsi" w:hAnsiTheme="minorHAnsi" w:cstheme="minorHAnsi"/>
          <w:color w:val="1F3864" w:themeColor="accent1" w:themeShade="80"/>
        </w:rPr>
        <w:t> + 1)] + 1, as popularised by Salton &amp; Buckley (1988), and incorporating checks for the presence of authoritative sources. Scoring blended a binary presence bonus with capped frequency effects and category</w:t>
      </w:r>
      <w:r w:rsidRPr="00B276A4">
        <w:rPr>
          <w:rFonts w:asciiTheme="minorHAnsi" w:hAnsiTheme="minorHAnsi" w:cstheme="minorHAnsi"/>
          <w:color w:val="1F3864" w:themeColor="accent1" w:themeShade="80"/>
        </w:rPr>
        <w:noBreakHyphen/>
        <w:t>tier weights, producing hybrid measures that were normalised both within and across intergovernmental organisations on a 0–10 scale (ScienceDirect, 2024).</w:t>
      </w:r>
    </w:p>
    <w:p w14:paraId="3C2FC4D1" w14:textId="0AEB60AE" w:rsidR="00B276A4" w:rsidRPr="00B276A4" w:rsidRDefault="00B276A4" w:rsidP="00B276A4">
      <w:pPr>
        <w:jc w:val="both"/>
        <w:rPr>
          <w:rFonts w:asciiTheme="minorHAnsi" w:hAnsiTheme="minorHAnsi" w:cstheme="minorHAnsi"/>
          <w:color w:val="1F3864" w:themeColor="accent1" w:themeShade="80"/>
        </w:rPr>
      </w:pPr>
      <w:r w:rsidRPr="00B276A4">
        <w:rPr>
          <w:rFonts w:asciiTheme="minorHAnsi" w:hAnsiTheme="minorHAnsi" w:cstheme="minorHAnsi"/>
          <w:color w:val="1F3864" w:themeColor="accent1" w:themeShade="80"/>
        </w:rPr>
        <w:t xml:space="preserve">For the </w:t>
      </w:r>
      <w:r w:rsidRPr="00B276A4">
        <w:rPr>
          <w:rFonts w:asciiTheme="minorHAnsi" w:hAnsiTheme="minorHAnsi" w:cstheme="minorHAnsi"/>
          <w:b/>
          <w:bCs/>
          <w:color w:val="1F3864" w:themeColor="accent1" w:themeShade="80"/>
        </w:rPr>
        <w:t>Year of Establishment</w:t>
      </w:r>
      <w:r w:rsidRPr="00B276A4">
        <w:rPr>
          <w:rFonts w:asciiTheme="minorHAnsi" w:hAnsiTheme="minorHAnsi" w:cstheme="minorHAnsi"/>
          <w:color w:val="1F3864" w:themeColor="accent1" w:themeShade="80"/>
        </w:rPr>
        <w:t xml:space="preserve"> attribute, a distinct transformation captured temporal and historical effects on IGO performance. Founding dates were grouped into ten era</w:t>
      </w:r>
      <w:r w:rsidRPr="00B276A4">
        <w:rPr>
          <w:rFonts w:asciiTheme="minorHAnsi" w:hAnsiTheme="minorHAnsi" w:cstheme="minorHAnsi"/>
          <w:color w:val="1F3864" w:themeColor="accent1" w:themeShade="80"/>
        </w:rPr>
        <w:noBreakHyphen/>
        <w:t>based cohorts, each corresponding to major systemic shifts in the international order — from pre</w:t>
      </w:r>
      <w:r w:rsidRPr="00B276A4">
        <w:rPr>
          <w:rFonts w:asciiTheme="minorHAnsi" w:hAnsiTheme="minorHAnsi" w:cstheme="minorHAnsi"/>
          <w:color w:val="1F3864" w:themeColor="accent1" w:themeShade="80"/>
        </w:rPr>
        <w:noBreakHyphen/>
        <w:t>1900 functional cooperation to the contemporary “</w:t>
      </w:r>
      <w:proofErr w:type="spellStart"/>
      <w:r w:rsidRPr="00B276A4">
        <w:rPr>
          <w:rFonts w:asciiTheme="minorHAnsi" w:hAnsiTheme="minorHAnsi" w:cstheme="minorHAnsi"/>
          <w:color w:val="1F3864" w:themeColor="accent1" w:themeShade="80"/>
        </w:rPr>
        <w:t>polycrisis</w:t>
      </w:r>
      <w:proofErr w:type="spellEnd"/>
      <w:r w:rsidRPr="00B276A4">
        <w:rPr>
          <w:rFonts w:asciiTheme="minorHAnsi" w:hAnsiTheme="minorHAnsi" w:cstheme="minorHAnsi"/>
          <w:color w:val="1F3864" w:themeColor="accent1" w:themeShade="80"/>
        </w:rPr>
        <w:t xml:space="preserve">” period — guided by established historiographical sources (Davies &amp; Woodward, 2014). This allowed the temporal clustering of institutional formation to be read alongside watershed geopolitical and economic transformations. Two density measures were then derived: </w:t>
      </w:r>
      <w:r w:rsidRPr="00B276A4">
        <w:rPr>
          <w:rFonts w:asciiTheme="minorHAnsi" w:hAnsiTheme="minorHAnsi" w:cstheme="minorHAnsi"/>
          <w:i/>
          <w:iCs/>
          <w:color w:val="1F3864" w:themeColor="accent1" w:themeShade="80"/>
        </w:rPr>
        <w:t>FoundingDensity_5yr</w:t>
      </w:r>
      <w:r w:rsidRPr="00B276A4">
        <w:rPr>
          <w:rFonts w:asciiTheme="minorHAnsi" w:hAnsiTheme="minorHAnsi" w:cstheme="minorHAnsi"/>
          <w:color w:val="1F3864" w:themeColor="accent1" w:themeShade="80"/>
        </w:rPr>
        <w:t xml:space="preserve"> — the number of IGOs founded within a ±2</w:t>
      </w:r>
      <w:r w:rsidRPr="00B276A4">
        <w:rPr>
          <w:rFonts w:asciiTheme="minorHAnsi" w:hAnsiTheme="minorHAnsi" w:cstheme="minorHAnsi"/>
          <w:color w:val="1F3864" w:themeColor="accent1" w:themeShade="80"/>
        </w:rPr>
        <w:noBreakHyphen/>
        <w:t xml:space="preserve">year window of the focal year — and </w:t>
      </w:r>
      <w:proofErr w:type="spellStart"/>
      <w:r w:rsidRPr="00B276A4">
        <w:rPr>
          <w:rFonts w:asciiTheme="minorHAnsi" w:hAnsiTheme="minorHAnsi" w:cstheme="minorHAnsi"/>
          <w:i/>
          <w:iCs/>
          <w:color w:val="1F3864" w:themeColor="accent1" w:themeShade="80"/>
        </w:rPr>
        <w:t>CumulativeStock</w:t>
      </w:r>
      <w:proofErr w:type="spellEnd"/>
      <w:r w:rsidRPr="00B276A4">
        <w:rPr>
          <w:rFonts w:asciiTheme="minorHAnsi" w:hAnsiTheme="minorHAnsi" w:cstheme="minorHAnsi"/>
          <w:color w:val="1F3864" w:themeColor="accent1" w:themeShade="80"/>
        </w:rPr>
        <w:t>, representing the total number of IGOs in existence up to and including that year. These operationalised organisational ecology mechanisms — such as liability of newness, adolescence, senescence, cohort effects, and density dependence — for hypothesis testing in conjunction with other governance attributes (Stinchcombe, 1965; Hannan &amp; Freeman, 1989; Carroll &amp; Hannan, 2000).</w:t>
      </w:r>
      <w:r>
        <w:rPr>
          <w:rFonts w:asciiTheme="minorHAnsi" w:hAnsiTheme="minorHAnsi" w:cstheme="minorHAnsi"/>
          <w:color w:val="1F3864" w:themeColor="accent1" w:themeShade="80"/>
        </w:rPr>
        <w:t xml:space="preserve"> </w:t>
      </w:r>
      <w:r w:rsidRPr="00B276A4">
        <w:rPr>
          <w:rFonts w:asciiTheme="minorHAnsi" w:hAnsiTheme="minorHAnsi" w:cstheme="minorHAnsi"/>
          <w:color w:val="1F3864" w:themeColor="accent1" w:themeShade="80"/>
        </w:rPr>
        <w:t xml:space="preserve">The resulting classification and derived variables are summarised in </w:t>
      </w:r>
      <w:r w:rsidRPr="00B276A4">
        <w:rPr>
          <w:rFonts w:asciiTheme="minorHAnsi" w:hAnsiTheme="minorHAnsi" w:cstheme="minorHAnsi"/>
          <w:b/>
          <w:bCs/>
          <w:color w:val="1F3864" w:themeColor="accent1" w:themeShade="80"/>
        </w:rPr>
        <w:t>Table X</w:t>
      </w:r>
      <w:r w:rsidRPr="00B276A4">
        <w:rPr>
          <w:rFonts w:asciiTheme="minorHAnsi" w:hAnsiTheme="minorHAnsi" w:cstheme="minorHAnsi"/>
          <w:color w:val="1F3864" w:themeColor="accent1" w:themeShade="80"/>
        </w:rPr>
        <w:t xml:space="preserve"> (Appendix Y), alongside literature</w:t>
      </w:r>
      <w:r w:rsidRPr="00B276A4">
        <w:rPr>
          <w:rFonts w:asciiTheme="minorHAnsi" w:hAnsiTheme="minorHAnsi" w:cstheme="minorHAnsi"/>
          <w:color w:val="1F3864" w:themeColor="accent1" w:themeShade="80"/>
        </w:rPr>
        <w:noBreakHyphen/>
        <w:t>based justifications and the corresponding historical–political context for each cohort.</w:t>
      </w:r>
    </w:p>
    <w:p w14:paraId="0F9E684F" w14:textId="77777777" w:rsidR="00B276A4" w:rsidRPr="00B276A4" w:rsidRDefault="00B276A4" w:rsidP="00B276A4">
      <w:pPr>
        <w:jc w:val="both"/>
        <w:rPr>
          <w:rFonts w:asciiTheme="minorHAnsi" w:hAnsiTheme="minorHAnsi" w:cstheme="minorHAnsi"/>
          <w:color w:val="1F3864" w:themeColor="accent1" w:themeShade="80"/>
        </w:rPr>
      </w:pPr>
      <w:r w:rsidRPr="00B276A4">
        <w:rPr>
          <w:rFonts w:asciiTheme="minorHAnsi" w:hAnsiTheme="minorHAnsi" w:cstheme="minorHAnsi"/>
          <w:color w:val="1F3864" w:themeColor="accent1" w:themeShade="80"/>
        </w:rPr>
        <w:t>Finally, outputs were generated in both long and wide formats to facilitate different analytical uses. Quality assurance procedures included harmonising category labels to a canonical form, flagging cases for manual review, and conducting sensitivity analyses to assess the robustness of results (</w:t>
      </w:r>
      <w:proofErr w:type="spellStart"/>
      <w:r w:rsidRPr="00B276A4">
        <w:rPr>
          <w:rFonts w:asciiTheme="minorHAnsi" w:hAnsiTheme="minorHAnsi" w:cstheme="minorHAnsi"/>
          <w:color w:val="1F3864" w:themeColor="accent1" w:themeShade="80"/>
        </w:rPr>
        <w:t>Krippendorff</w:t>
      </w:r>
      <w:proofErr w:type="spellEnd"/>
      <w:r w:rsidRPr="00B276A4">
        <w:rPr>
          <w:rFonts w:asciiTheme="minorHAnsi" w:hAnsiTheme="minorHAnsi" w:cstheme="minorHAnsi"/>
          <w:color w:val="1F3864" w:themeColor="accent1" w:themeShade="80"/>
        </w:rPr>
        <w:t>, 2019; Schreier, 2012). This structured yet flexible approach ensured that the methodology was transparent, replicable, and adaptable for comparative policy research.</w:t>
      </w:r>
    </w:p>
    <w:p w14:paraId="59F43E96" w14:textId="77777777" w:rsidR="00B276A4" w:rsidRPr="00986783" w:rsidRDefault="00B276A4" w:rsidP="00986783">
      <w:pPr>
        <w:jc w:val="both"/>
        <w:rPr>
          <w:rFonts w:asciiTheme="minorHAnsi" w:hAnsiTheme="minorHAnsi" w:cstheme="minorHAnsi"/>
          <w:color w:val="1F3864" w:themeColor="accent1" w:themeShade="80"/>
        </w:rPr>
      </w:pPr>
    </w:p>
    <w:p w14:paraId="58B2288F" w14:textId="77777777" w:rsidR="00986783" w:rsidRDefault="00986783" w:rsidP="00986783">
      <w:pPr>
        <w:rPr>
          <w:rFonts w:asciiTheme="minorHAnsi" w:hAnsiTheme="minorHAnsi" w:cstheme="minorHAnsi"/>
          <w:color w:val="1F3864" w:themeColor="accent1" w:themeShade="80"/>
        </w:rPr>
      </w:pPr>
    </w:p>
    <w:p w14:paraId="749BEC1A" w14:textId="77777777" w:rsidR="00986783" w:rsidRPr="00986783" w:rsidRDefault="00986783" w:rsidP="00986783">
      <w:pPr>
        <w:rPr>
          <w:rFonts w:asciiTheme="minorHAnsi" w:hAnsiTheme="minorHAnsi" w:cstheme="minorHAnsi"/>
          <w:color w:val="1F3864" w:themeColor="accent1" w:themeShade="80"/>
        </w:rPr>
      </w:pPr>
    </w:p>
    <w:p w14:paraId="4A9C1481" w14:textId="77777777" w:rsidR="00986783" w:rsidRPr="00986783" w:rsidRDefault="00986783" w:rsidP="00986783">
      <w:pPr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986783">
        <w:rPr>
          <w:rFonts w:asciiTheme="minorHAnsi" w:hAnsiTheme="minorHAnsi" w:cstheme="minorHAnsi"/>
          <w:b/>
          <w:bCs/>
          <w:color w:val="1F3864" w:themeColor="accent1" w:themeShade="80"/>
        </w:rPr>
        <w:t>References</w:t>
      </w:r>
    </w:p>
    <w:p w14:paraId="60CB70FA" w14:textId="77777777" w:rsidR="00986783" w:rsidRPr="00986783" w:rsidRDefault="00986783" w:rsidP="00986783">
      <w:pPr>
        <w:numPr>
          <w:ilvl w:val="0"/>
          <w:numId w:val="18"/>
        </w:numPr>
        <w:rPr>
          <w:rFonts w:asciiTheme="minorHAnsi" w:hAnsiTheme="minorHAnsi" w:cstheme="minorHAnsi"/>
          <w:color w:val="1F3864" w:themeColor="accent1" w:themeShade="80"/>
        </w:rPr>
      </w:pPr>
      <w:r w:rsidRPr="00986783">
        <w:rPr>
          <w:rFonts w:asciiTheme="minorHAnsi" w:hAnsiTheme="minorHAnsi" w:cstheme="minorHAnsi"/>
          <w:color w:val="1F3864" w:themeColor="accent1" w:themeShade="80"/>
        </w:rPr>
        <w:t xml:space="preserve">Jolliffe, I. T., &amp; </w:t>
      </w:r>
      <w:proofErr w:type="spellStart"/>
      <w:r w:rsidRPr="00986783">
        <w:rPr>
          <w:rFonts w:asciiTheme="minorHAnsi" w:hAnsiTheme="minorHAnsi" w:cstheme="minorHAnsi"/>
          <w:color w:val="1F3864" w:themeColor="accent1" w:themeShade="80"/>
        </w:rPr>
        <w:t>Cadima</w:t>
      </w:r>
      <w:proofErr w:type="spellEnd"/>
      <w:r w:rsidRPr="00986783">
        <w:rPr>
          <w:rFonts w:asciiTheme="minorHAnsi" w:hAnsiTheme="minorHAnsi" w:cstheme="minorHAnsi"/>
          <w:color w:val="1F3864" w:themeColor="accent1" w:themeShade="80"/>
        </w:rPr>
        <w:t xml:space="preserve">, J. (2016). Principal component analysis: A review and recent developments. </w:t>
      </w:r>
      <w:r w:rsidRPr="00986783">
        <w:rPr>
          <w:rFonts w:asciiTheme="minorHAnsi" w:hAnsiTheme="minorHAnsi" w:cstheme="minorHAnsi"/>
          <w:i/>
          <w:iCs/>
          <w:color w:val="1F3864" w:themeColor="accent1" w:themeShade="80"/>
        </w:rPr>
        <w:t>Philosophical Transactions of the Royal Society A: Mathematical, Physical and Engineering Sciences, 374</w:t>
      </w:r>
      <w:r w:rsidRPr="00986783">
        <w:rPr>
          <w:rFonts w:asciiTheme="minorHAnsi" w:hAnsiTheme="minorHAnsi" w:cstheme="minorHAnsi"/>
          <w:color w:val="1F3864" w:themeColor="accent1" w:themeShade="80"/>
        </w:rPr>
        <w:t>(2065), 20150202. https://doi.org/10.1098/rsta.2015.0202</w:t>
      </w:r>
    </w:p>
    <w:p w14:paraId="77BA1809" w14:textId="77777777" w:rsidR="00986783" w:rsidRPr="00986783" w:rsidRDefault="00986783" w:rsidP="00986783">
      <w:pPr>
        <w:numPr>
          <w:ilvl w:val="0"/>
          <w:numId w:val="18"/>
        </w:numPr>
        <w:rPr>
          <w:rFonts w:asciiTheme="minorHAnsi" w:hAnsiTheme="minorHAnsi" w:cstheme="minorHAnsi"/>
          <w:color w:val="1F3864" w:themeColor="accent1" w:themeShade="80"/>
        </w:rPr>
      </w:pPr>
      <w:proofErr w:type="spellStart"/>
      <w:r w:rsidRPr="00986783">
        <w:rPr>
          <w:rFonts w:asciiTheme="minorHAnsi" w:hAnsiTheme="minorHAnsi" w:cstheme="minorHAnsi"/>
          <w:color w:val="1F3864" w:themeColor="accent1" w:themeShade="80"/>
        </w:rPr>
        <w:t>Krippendorff</w:t>
      </w:r>
      <w:proofErr w:type="spellEnd"/>
      <w:r w:rsidRPr="00986783">
        <w:rPr>
          <w:rFonts w:asciiTheme="minorHAnsi" w:hAnsiTheme="minorHAnsi" w:cstheme="minorHAnsi"/>
          <w:color w:val="1F3864" w:themeColor="accent1" w:themeShade="80"/>
        </w:rPr>
        <w:t xml:space="preserve">, K. (2019). </w:t>
      </w:r>
      <w:r w:rsidRPr="00986783">
        <w:rPr>
          <w:rFonts w:asciiTheme="minorHAnsi" w:hAnsiTheme="minorHAnsi" w:cstheme="minorHAnsi"/>
          <w:i/>
          <w:iCs/>
          <w:color w:val="1F3864" w:themeColor="accent1" w:themeShade="80"/>
        </w:rPr>
        <w:t>Content analysis: An introduction to its methodology</w:t>
      </w:r>
      <w:r w:rsidRPr="00986783">
        <w:rPr>
          <w:rFonts w:asciiTheme="minorHAnsi" w:hAnsiTheme="minorHAnsi" w:cstheme="minorHAnsi"/>
          <w:color w:val="1F3864" w:themeColor="accent1" w:themeShade="80"/>
        </w:rPr>
        <w:t> (4th ed.). SAGE Publications.</w:t>
      </w:r>
    </w:p>
    <w:p w14:paraId="3938FCB8" w14:textId="77777777" w:rsidR="00986783" w:rsidRPr="00986783" w:rsidRDefault="00986783" w:rsidP="00986783">
      <w:pPr>
        <w:numPr>
          <w:ilvl w:val="0"/>
          <w:numId w:val="18"/>
        </w:numPr>
        <w:rPr>
          <w:rFonts w:asciiTheme="minorHAnsi" w:hAnsiTheme="minorHAnsi" w:cstheme="minorHAnsi"/>
          <w:color w:val="1F3864" w:themeColor="accent1" w:themeShade="80"/>
        </w:rPr>
      </w:pPr>
      <w:r w:rsidRPr="00986783">
        <w:rPr>
          <w:rFonts w:asciiTheme="minorHAnsi" w:hAnsiTheme="minorHAnsi" w:cstheme="minorHAnsi"/>
          <w:color w:val="1F3864" w:themeColor="accent1" w:themeShade="80"/>
        </w:rPr>
        <w:lastRenderedPageBreak/>
        <w:t xml:space="preserve">Rochette, J., </w:t>
      </w:r>
      <w:proofErr w:type="spellStart"/>
      <w:r w:rsidRPr="00986783">
        <w:rPr>
          <w:rFonts w:asciiTheme="minorHAnsi" w:hAnsiTheme="minorHAnsi" w:cstheme="minorHAnsi"/>
          <w:color w:val="1F3864" w:themeColor="accent1" w:themeShade="80"/>
        </w:rPr>
        <w:t>Billé</w:t>
      </w:r>
      <w:proofErr w:type="spellEnd"/>
      <w:r w:rsidRPr="00986783">
        <w:rPr>
          <w:rFonts w:asciiTheme="minorHAnsi" w:hAnsiTheme="minorHAnsi" w:cstheme="minorHAnsi"/>
          <w:color w:val="1F3864" w:themeColor="accent1" w:themeShade="80"/>
        </w:rPr>
        <w:t xml:space="preserve">, R., </w:t>
      </w:r>
      <w:proofErr w:type="spellStart"/>
      <w:r w:rsidRPr="00986783">
        <w:rPr>
          <w:rFonts w:asciiTheme="minorHAnsi" w:hAnsiTheme="minorHAnsi" w:cstheme="minorHAnsi"/>
          <w:color w:val="1F3864" w:themeColor="accent1" w:themeShade="80"/>
        </w:rPr>
        <w:t>Molenaar</w:t>
      </w:r>
      <w:proofErr w:type="spellEnd"/>
      <w:r w:rsidRPr="00986783">
        <w:rPr>
          <w:rFonts w:asciiTheme="minorHAnsi" w:hAnsiTheme="minorHAnsi" w:cstheme="minorHAnsi"/>
          <w:color w:val="1F3864" w:themeColor="accent1" w:themeShade="80"/>
        </w:rPr>
        <w:t xml:space="preserve">, E. J., </w:t>
      </w:r>
      <w:proofErr w:type="spellStart"/>
      <w:r w:rsidRPr="00986783">
        <w:rPr>
          <w:rFonts w:asciiTheme="minorHAnsi" w:hAnsiTheme="minorHAnsi" w:cstheme="minorHAnsi"/>
          <w:color w:val="1F3864" w:themeColor="accent1" w:themeShade="80"/>
        </w:rPr>
        <w:t>Drankier</w:t>
      </w:r>
      <w:proofErr w:type="spellEnd"/>
      <w:r w:rsidRPr="00986783">
        <w:rPr>
          <w:rFonts w:asciiTheme="minorHAnsi" w:hAnsiTheme="minorHAnsi" w:cstheme="minorHAnsi"/>
          <w:color w:val="1F3864" w:themeColor="accent1" w:themeShade="80"/>
        </w:rPr>
        <w:t xml:space="preserve">, P., &amp; </w:t>
      </w:r>
      <w:proofErr w:type="spellStart"/>
      <w:r w:rsidRPr="00986783">
        <w:rPr>
          <w:rFonts w:asciiTheme="minorHAnsi" w:hAnsiTheme="minorHAnsi" w:cstheme="minorHAnsi"/>
          <w:color w:val="1F3864" w:themeColor="accent1" w:themeShade="80"/>
        </w:rPr>
        <w:t>Chabason</w:t>
      </w:r>
      <w:proofErr w:type="spellEnd"/>
      <w:r w:rsidRPr="00986783">
        <w:rPr>
          <w:rFonts w:asciiTheme="minorHAnsi" w:hAnsiTheme="minorHAnsi" w:cstheme="minorHAnsi"/>
          <w:color w:val="1F3864" w:themeColor="accent1" w:themeShade="80"/>
        </w:rPr>
        <w:t xml:space="preserve">, L. (2015). </w:t>
      </w:r>
      <w:r w:rsidRPr="00986783">
        <w:rPr>
          <w:rFonts w:asciiTheme="minorHAnsi" w:hAnsiTheme="minorHAnsi" w:cstheme="minorHAnsi"/>
          <w:i/>
          <w:iCs/>
          <w:color w:val="1F3864" w:themeColor="accent1" w:themeShade="80"/>
        </w:rPr>
        <w:t>Regional oceans governance in the Post</w:t>
      </w:r>
      <w:r w:rsidRPr="00986783">
        <w:rPr>
          <w:rFonts w:asciiTheme="minorHAnsi" w:hAnsiTheme="minorHAnsi" w:cstheme="minorHAnsi"/>
          <w:i/>
          <w:iCs/>
          <w:color w:val="1F3864" w:themeColor="accent1" w:themeShade="80"/>
        </w:rPr>
        <w:noBreakHyphen/>
        <w:t xml:space="preserve">2015 Development Agenda: Moving from regional seas programmes to a regional </w:t>
      </w:r>
      <w:proofErr w:type="gramStart"/>
      <w:r w:rsidRPr="00986783">
        <w:rPr>
          <w:rFonts w:asciiTheme="minorHAnsi" w:hAnsiTheme="minorHAnsi" w:cstheme="minorHAnsi"/>
          <w:i/>
          <w:iCs/>
          <w:color w:val="1F3864" w:themeColor="accent1" w:themeShade="80"/>
        </w:rPr>
        <w:t>oceans</w:t>
      </w:r>
      <w:proofErr w:type="gramEnd"/>
      <w:r w:rsidRPr="00986783">
        <w:rPr>
          <w:rFonts w:asciiTheme="minorHAnsi" w:hAnsiTheme="minorHAnsi" w:cstheme="minorHAnsi"/>
          <w:i/>
          <w:iCs/>
          <w:color w:val="1F3864" w:themeColor="accent1" w:themeShade="80"/>
        </w:rPr>
        <w:t xml:space="preserve"> governance framework</w:t>
      </w:r>
      <w:r w:rsidRPr="00986783">
        <w:rPr>
          <w:rFonts w:asciiTheme="minorHAnsi" w:hAnsiTheme="minorHAnsi" w:cstheme="minorHAnsi"/>
          <w:color w:val="1F3864" w:themeColor="accent1" w:themeShade="80"/>
        </w:rPr>
        <w:t>. Institute for Sustainable Development and International Relations (IDDRI).</w:t>
      </w:r>
    </w:p>
    <w:p w14:paraId="5A43E473" w14:textId="77777777" w:rsidR="00986783" w:rsidRPr="00986783" w:rsidRDefault="00986783" w:rsidP="00986783">
      <w:pPr>
        <w:numPr>
          <w:ilvl w:val="0"/>
          <w:numId w:val="18"/>
        </w:numPr>
        <w:rPr>
          <w:rFonts w:asciiTheme="minorHAnsi" w:hAnsiTheme="minorHAnsi" w:cstheme="minorHAnsi"/>
          <w:color w:val="1F3864" w:themeColor="accent1" w:themeShade="80"/>
        </w:rPr>
      </w:pPr>
      <w:r w:rsidRPr="00986783">
        <w:rPr>
          <w:rFonts w:asciiTheme="minorHAnsi" w:hAnsiTheme="minorHAnsi" w:cstheme="minorHAnsi"/>
          <w:color w:val="1F3864" w:themeColor="accent1" w:themeShade="80"/>
        </w:rPr>
        <w:t>Salton, G., &amp; Buckley, C. (1988). Term</w:t>
      </w:r>
      <w:r w:rsidRPr="00986783">
        <w:rPr>
          <w:rFonts w:asciiTheme="minorHAnsi" w:hAnsiTheme="minorHAnsi" w:cstheme="minorHAnsi"/>
          <w:color w:val="1F3864" w:themeColor="accent1" w:themeShade="80"/>
        </w:rPr>
        <w:noBreakHyphen/>
        <w:t xml:space="preserve">weighting approaches in automatic text retrieval. </w:t>
      </w:r>
      <w:r w:rsidRPr="00986783">
        <w:rPr>
          <w:rFonts w:asciiTheme="minorHAnsi" w:hAnsiTheme="minorHAnsi" w:cstheme="minorHAnsi"/>
          <w:i/>
          <w:iCs/>
          <w:color w:val="1F3864" w:themeColor="accent1" w:themeShade="80"/>
        </w:rPr>
        <w:t>Information Processing &amp; Management, 24</w:t>
      </w:r>
      <w:r w:rsidRPr="00986783">
        <w:rPr>
          <w:rFonts w:asciiTheme="minorHAnsi" w:hAnsiTheme="minorHAnsi" w:cstheme="minorHAnsi"/>
          <w:color w:val="1F3864" w:themeColor="accent1" w:themeShade="80"/>
        </w:rPr>
        <w:t>(5), 513</w:t>
      </w:r>
      <w:r w:rsidRPr="00986783">
        <w:rPr>
          <w:rFonts w:asciiTheme="minorHAnsi" w:hAnsiTheme="minorHAnsi" w:cstheme="minorHAnsi"/>
          <w:color w:val="1F3864" w:themeColor="accent1" w:themeShade="80"/>
        </w:rPr>
        <w:noBreakHyphen/>
        <w:t>523. https://doi.org/10.1016/0306-4573(88)90021-0</w:t>
      </w:r>
    </w:p>
    <w:p w14:paraId="79A00629" w14:textId="77777777" w:rsidR="00986783" w:rsidRPr="00986783" w:rsidRDefault="00986783" w:rsidP="00986783">
      <w:pPr>
        <w:numPr>
          <w:ilvl w:val="0"/>
          <w:numId w:val="18"/>
        </w:numPr>
        <w:rPr>
          <w:rFonts w:asciiTheme="minorHAnsi" w:hAnsiTheme="minorHAnsi" w:cstheme="minorHAnsi"/>
          <w:color w:val="1F3864" w:themeColor="accent1" w:themeShade="80"/>
        </w:rPr>
      </w:pPr>
      <w:r w:rsidRPr="00986783">
        <w:rPr>
          <w:rFonts w:asciiTheme="minorHAnsi" w:hAnsiTheme="minorHAnsi" w:cstheme="minorHAnsi"/>
          <w:color w:val="1F3864" w:themeColor="accent1" w:themeShade="80"/>
        </w:rPr>
        <w:t xml:space="preserve">Schreier, M. (2012). </w:t>
      </w:r>
      <w:r w:rsidRPr="00986783">
        <w:rPr>
          <w:rFonts w:asciiTheme="minorHAnsi" w:hAnsiTheme="minorHAnsi" w:cstheme="minorHAnsi"/>
          <w:i/>
          <w:iCs/>
          <w:color w:val="1F3864" w:themeColor="accent1" w:themeShade="80"/>
        </w:rPr>
        <w:t>Qualitative content analysis in practice</w:t>
      </w:r>
      <w:r w:rsidRPr="00986783">
        <w:rPr>
          <w:rFonts w:asciiTheme="minorHAnsi" w:hAnsiTheme="minorHAnsi" w:cstheme="minorHAnsi"/>
          <w:color w:val="1F3864" w:themeColor="accent1" w:themeShade="80"/>
        </w:rPr>
        <w:t>. SAGE Publications.</w:t>
      </w:r>
    </w:p>
    <w:p w14:paraId="0B1952CD" w14:textId="77777777" w:rsidR="00986783" w:rsidRPr="00986783" w:rsidRDefault="00986783" w:rsidP="00986783">
      <w:pPr>
        <w:numPr>
          <w:ilvl w:val="0"/>
          <w:numId w:val="18"/>
        </w:numPr>
        <w:rPr>
          <w:rFonts w:asciiTheme="minorHAnsi" w:hAnsiTheme="minorHAnsi" w:cstheme="minorHAnsi"/>
          <w:color w:val="1F3864" w:themeColor="accent1" w:themeShade="80"/>
        </w:rPr>
      </w:pPr>
      <w:r w:rsidRPr="00986783">
        <w:rPr>
          <w:rFonts w:asciiTheme="minorHAnsi" w:hAnsiTheme="minorHAnsi" w:cstheme="minorHAnsi"/>
          <w:color w:val="1F3864" w:themeColor="accent1" w:themeShade="80"/>
        </w:rPr>
        <w:t xml:space="preserve">United Nations. (1982). </w:t>
      </w:r>
      <w:r w:rsidRPr="00986783">
        <w:rPr>
          <w:rFonts w:asciiTheme="minorHAnsi" w:hAnsiTheme="minorHAnsi" w:cstheme="minorHAnsi"/>
          <w:i/>
          <w:iCs/>
          <w:color w:val="1F3864" w:themeColor="accent1" w:themeShade="80"/>
        </w:rPr>
        <w:t>United Nations Convention on the Law of the Sea</w:t>
      </w:r>
      <w:r w:rsidRPr="00986783">
        <w:rPr>
          <w:rFonts w:asciiTheme="minorHAnsi" w:hAnsiTheme="minorHAnsi" w:cstheme="minorHAnsi"/>
          <w:color w:val="1F3864" w:themeColor="accent1" w:themeShade="80"/>
        </w:rPr>
        <w:t>. https://www.un.org/depts/los/convention_agreements/texts/unclos/unclos_e.pdf</w:t>
      </w:r>
    </w:p>
    <w:p w14:paraId="658A3858" w14:textId="35FCA54D" w:rsidR="00986783" w:rsidRPr="00986783" w:rsidRDefault="00986783" w:rsidP="00986783">
      <w:pPr>
        <w:rPr>
          <w:rFonts w:asciiTheme="minorHAnsi" w:hAnsiTheme="minorHAnsi" w:cstheme="minorHAnsi"/>
          <w:color w:val="1F3864" w:themeColor="accent1" w:themeShade="80"/>
        </w:rPr>
      </w:pPr>
    </w:p>
    <w:p w14:paraId="74FD3746" w14:textId="77777777" w:rsidR="00986783" w:rsidRPr="000813A3" w:rsidRDefault="00986783" w:rsidP="00986783">
      <w:pPr>
        <w:rPr>
          <w:rFonts w:asciiTheme="minorHAnsi" w:hAnsiTheme="minorHAnsi" w:cstheme="minorHAnsi"/>
          <w:color w:val="1F3864" w:themeColor="accent1" w:themeShade="80"/>
        </w:rPr>
      </w:pPr>
    </w:p>
    <w:p w14:paraId="4DDB16B4" w14:textId="77777777" w:rsidR="000813A3" w:rsidRPr="000813A3" w:rsidRDefault="000813A3">
      <w:pPr>
        <w:rPr>
          <w:rFonts w:asciiTheme="minorHAnsi" w:hAnsiTheme="minorHAnsi" w:cstheme="minorHAnsi"/>
          <w:color w:val="1F3864" w:themeColor="accent1" w:themeShade="80"/>
        </w:rPr>
      </w:pPr>
    </w:p>
    <w:p w14:paraId="41962830" w14:textId="77777777" w:rsidR="000813A3" w:rsidRPr="000813A3" w:rsidRDefault="000813A3">
      <w:pPr>
        <w:rPr>
          <w:rFonts w:asciiTheme="minorHAnsi" w:hAnsiTheme="minorHAnsi" w:cstheme="minorHAnsi"/>
          <w:color w:val="1F3864" w:themeColor="accent1" w:themeShade="80"/>
        </w:rPr>
      </w:pPr>
    </w:p>
    <w:sectPr w:rsidR="000813A3" w:rsidRPr="00081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D6719"/>
    <w:multiLevelType w:val="multilevel"/>
    <w:tmpl w:val="0A2A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93979"/>
    <w:multiLevelType w:val="multilevel"/>
    <w:tmpl w:val="417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7071C"/>
    <w:multiLevelType w:val="multilevel"/>
    <w:tmpl w:val="D0E2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4237"/>
    <w:multiLevelType w:val="multilevel"/>
    <w:tmpl w:val="D74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956A4"/>
    <w:multiLevelType w:val="multilevel"/>
    <w:tmpl w:val="3682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73F10"/>
    <w:multiLevelType w:val="multilevel"/>
    <w:tmpl w:val="31B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62BFE"/>
    <w:multiLevelType w:val="multilevel"/>
    <w:tmpl w:val="E42C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8605B"/>
    <w:multiLevelType w:val="multilevel"/>
    <w:tmpl w:val="7EC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B7883"/>
    <w:multiLevelType w:val="multilevel"/>
    <w:tmpl w:val="2D9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8509C"/>
    <w:multiLevelType w:val="multilevel"/>
    <w:tmpl w:val="7FA8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D5ED3"/>
    <w:multiLevelType w:val="multilevel"/>
    <w:tmpl w:val="05B6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54C66"/>
    <w:multiLevelType w:val="multilevel"/>
    <w:tmpl w:val="5B7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84035"/>
    <w:multiLevelType w:val="multilevel"/>
    <w:tmpl w:val="C11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050EF"/>
    <w:multiLevelType w:val="multilevel"/>
    <w:tmpl w:val="4FA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E3273"/>
    <w:multiLevelType w:val="multilevel"/>
    <w:tmpl w:val="4200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A499F"/>
    <w:multiLevelType w:val="multilevel"/>
    <w:tmpl w:val="210C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B39D4"/>
    <w:multiLevelType w:val="multilevel"/>
    <w:tmpl w:val="543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92F2E"/>
    <w:multiLevelType w:val="multilevel"/>
    <w:tmpl w:val="43B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104420">
    <w:abstractNumId w:val="14"/>
  </w:num>
  <w:num w:numId="2" w16cid:durableId="488833281">
    <w:abstractNumId w:val="3"/>
  </w:num>
  <w:num w:numId="3" w16cid:durableId="1170096709">
    <w:abstractNumId w:val="9"/>
  </w:num>
  <w:num w:numId="4" w16cid:durableId="1123769579">
    <w:abstractNumId w:val="5"/>
  </w:num>
  <w:num w:numId="5" w16cid:durableId="353730088">
    <w:abstractNumId w:val="16"/>
  </w:num>
  <w:num w:numId="6" w16cid:durableId="102040011">
    <w:abstractNumId w:val="2"/>
  </w:num>
  <w:num w:numId="7" w16cid:durableId="726533778">
    <w:abstractNumId w:val="4"/>
  </w:num>
  <w:num w:numId="8" w16cid:durableId="453407175">
    <w:abstractNumId w:val="10"/>
  </w:num>
  <w:num w:numId="9" w16cid:durableId="115955534">
    <w:abstractNumId w:val="12"/>
  </w:num>
  <w:num w:numId="10" w16cid:durableId="764157517">
    <w:abstractNumId w:val="6"/>
  </w:num>
  <w:num w:numId="11" w16cid:durableId="812337241">
    <w:abstractNumId w:val="7"/>
  </w:num>
  <w:num w:numId="12" w16cid:durableId="2133353768">
    <w:abstractNumId w:val="11"/>
  </w:num>
  <w:num w:numId="13" w16cid:durableId="2115587606">
    <w:abstractNumId w:val="0"/>
  </w:num>
  <w:num w:numId="14" w16cid:durableId="58209721">
    <w:abstractNumId w:val="15"/>
  </w:num>
  <w:num w:numId="15" w16cid:durableId="1603486839">
    <w:abstractNumId w:val="8"/>
  </w:num>
  <w:num w:numId="16" w16cid:durableId="1846432627">
    <w:abstractNumId w:val="13"/>
  </w:num>
  <w:num w:numId="17" w16cid:durableId="1874343540">
    <w:abstractNumId w:val="1"/>
  </w:num>
  <w:num w:numId="18" w16cid:durableId="2343611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BA"/>
    <w:rsid w:val="000813A3"/>
    <w:rsid w:val="00405A1B"/>
    <w:rsid w:val="0046357F"/>
    <w:rsid w:val="0049727D"/>
    <w:rsid w:val="00986783"/>
    <w:rsid w:val="00A63EFC"/>
    <w:rsid w:val="00A93971"/>
    <w:rsid w:val="00B276A4"/>
    <w:rsid w:val="00C45D20"/>
    <w:rsid w:val="00EF2BA0"/>
    <w:rsid w:val="00F5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682E"/>
  <w15:chartTrackingRefBased/>
  <w15:docId w15:val="{156078F0-EBF9-E943-BD66-7B6B2C5B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7BA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7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7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7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7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7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7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7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7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27B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86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1395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Ibukun Adewumi</dc:creator>
  <cp:keywords/>
  <dc:description/>
  <cp:lastModifiedBy>Ibukun Adewumi</cp:lastModifiedBy>
  <cp:revision>3</cp:revision>
  <dcterms:created xsi:type="dcterms:W3CDTF">2025-08-21T10:12:00Z</dcterms:created>
  <dcterms:modified xsi:type="dcterms:W3CDTF">2025-08-21T11:59:00Z</dcterms:modified>
</cp:coreProperties>
</file>