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19628" w14:textId="7D9930D2" w:rsidR="003B3213" w:rsidRPr="003B3213" w:rsidRDefault="003B3213" w:rsidP="005C63E7">
      <w:pPr>
        <w:rPr>
          <w:rFonts w:asciiTheme="minorHAnsi" w:hAnsiTheme="minorHAnsi" w:cstheme="minorHAnsi"/>
          <w:b/>
          <w:bCs/>
          <w:color w:val="1F3864" w:themeColor="accent1" w:themeShade="80"/>
        </w:rPr>
      </w:pPr>
      <w:r>
        <w:rPr>
          <w:rFonts w:asciiTheme="minorHAnsi" w:hAnsiTheme="minorHAnsi" w:cstheme="minorHAnsi"/>
          <w:b/>
          <w:bCs/>
          <w:color w:val="1F3864" w:themeColor="accent1" w:themeShade="80"/>
        </w:rPr>
        <w:t>Appendix XXX: Identifying Categories for IGO Attributes</w:t>
      </w:r>
    </w:p>
    <w:p w14:paraId="7E9E5AAA" w14:textId="77777777" w:rsidR="003B3213" w:rsidRDefault="003B3213" w:rsidP="005C63E7">
      <w:pPr>
        <w:rPr>
          <w:rFonts w:asciiTheme="minorHAnsi" w:hAnsiTheme="minorHAnsi" w:cstheme="minorHAnsi"/>
          <w:b/>
          <w:bCs/>
          <w:color w:val="1F3864" w:themeColor="accent1" w:themeShade="80"/>
          <w:sz w:val="22"/>
          <w:szCs w:val="22"/>
        </w:rPr>
      </w:pPr>
    </w:p>
    <w:p w14:paraId="27050CD3" w14:textId="77777777" w:rsidR="003B3213" w:rsidRDefault="003B3213" w:rsidP="005C63E7">
      <w:pPr>
        <w:rPr>
          <w:rFonts w:asciiTheme="minorHAnsi" w:hAnsiTheme="minorHAnsi" w:cstheme="minorHAnsi"/>
          <w:b/>
          <w:bCs/>
          <w:color w:val="1F3864" w:themeColor="accent1" w:themeShade="80"/>
          <w:sz w:val="22"/>
          <w:szCs w:val="22"/>
        </w:rPr>
      </w:pPr>
    </w:p>
    <w:p w14:paraId="1917DB08" w14:textId="1C092CB6"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Year of Establishment</w:t>
      </w:r>
    </w:p>
    <w:p w14:paraId="433A7ADA" w14:textId="77777777" w:rsidR="005C63E7" w:rsidRPr="006E2E54" w:rsidRDefault="005C63E7" w:rsidP="005C63E7">
      <w:pPr>
        <w:rPr>
          <w:rFonts w:asciiTheme="minorHAnsi" w:hAnsiTheme="minorHAnsi" w:cstheme="minorHAnsi"/>
          <w:b/>
          <w:bCs/>
          <w:color w:val="1F3864" w:themeColor="accent1" w:themeShade="80"/>
          <w:sz w:val="22"/>
          <w:szCs w:val="22"/>
        </w:rPr>
      </w:pPr>
    </w:p>
    <w:p w14:paraId="284755F3" w14:textId="75BC38FD" w:rsidR="00507DCC" w:rsidRDefault="00BE3D82" w:rsidP="00BE3D82">
      <w:pPr>
        <w:jc w:val="both"/>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 xml:space="preserve">The </w:t>
      </w:r>
      <w:r w:rsidRPr="00BE3D82">
        <w:rPr>
          <w:rFonts w:asciiTheme="minorHAnsi" w:hAnsiTheme="minorHAnsi" w:cstheme="minorHAnsi"/>
          <w:i/>
          <w:iCs/>
          <w:color w:val="1F3864" w:themeColor="accent1" w:themeShade="80"/>
          <w:sz w:val="22"/>
          <w:szCs w:val="22"/>
        </w:rPr>
        <w:t>Year of Establishment</w:t>
      </w:r>
      <w:r w:rsidRPr="00BE3D82">
        <w:rPr>
          <w:rFonts w:asciiTheme="minorHAnsi" w:hAnsiTheme="minorHAnsi" w:cstheme="minorHAnsi"/>
          <w:color w:val="1F3864" w:themeColor="accent1" w:themeShade="80"/>
          <w:sz w:val="22"/>
          <w:szCs w:val="22"/>
        </w:rPr>
        <w:t xml:space="preserve"> was transformed into analytically useful variables that capture temporal and historical effects on IGO performance. First, the founding dates of IGOs in global ocean economy governance were categorised into ten </w:t>
      </w:r>
      <w:r w:rsidRPr="00BE3D82">
        <w:rPr>
          <w:rFonts w:asciiTheme="minorHAnsi" w:hAnsiTheme="minorHAnsi" w:cstheme="minorHAnsi"/>
          <w:b/>
          <w:bCs/>
          <w:color w:val="1F3864" w:themeColor="accent1" w:themeShade="80"/>
          <w:sz w:val="22"/>
          <w:szCs w:val="22"/>
        </w:rPr>
        <w:t>founding</w:t>
      </w:r>
      <w:r w:rsidRPr="00BE3D82">
        <w:rPr>
          <w:rFonts w:asciiTheme="minorHAnsi" w:hAnsiTheme="minorHAnsi" w:cstheme="minorHAnsi"/>
          <w:b/>
          <w:bCs/>
          <w:color w:val="1F3864" w:themeColor="accent1" w:themeShade="80"/>
          <w:sz w:val="22"/>
          <w:szCs w:val="22"/>
        </w:rPr>
        <w:noBreakHyphen/>
        <w:t>era cohorts</w:t>
      </w:r>
      <w:r w:rsidRPr="00BE3D82">
        <w:rPr>
          <w:rFonts w:asciiTheme="minorHAnsi" w:hAnsiTheme="minorHAnsi" w:cstheme="minorHAnsi"/>
          <w:color w:val="1F3864" w:themeColor="accent1" w:themeShade="80"/>
          <w:sz w:val="22"/>
          <w:szCs w:val="22"/>
        </w:rPr>
        <w:t xml:space="preserve"> reflecting major systemic shifts in the international order — from pre</w:t>
      </w:r>
      <w:r w:rsidRPr="00BE3D82">
        <w:rPr>
          <w:rFonts w:asciiTheme="minorHAnsi" w:hAnsiTheme="minorHAnsi" w:cstheme="minorHAnsi"/>
          <w:color w:val="1F3864" w:themeColor="accent1" w:themeShade="80"/>
          <w:sz w:val="22"/>
          <w:szCs w:val="22"/>
        </w:rPr>
        <w:noBreakHyphen/>
        <w:t>1900 functional cooperation to the contemporary “</w:t>
      </w:r>
      <w:proofErr w:type="spellStart"/>
      <w:r w:rsidRPr="00BE3D82">
        <w:rPr>
          <w:rFonts w:asciiTheme="minorHAnsi" w:hAnsiTheme="minorHAnsi" w:cstheme="minorHAnsi"/>
          <w:color w:val="1F3864" w:themeColor="accent1" w:themeShade="80"/>
          <w:sz w:val="22"/>
          <w:szCs w:val="22"/>
        </w:rPr>
        <w:t>polycrisis</w:t>
      </w:r>
      <w:proofErr w:type="spellEnd"/>
      <w:r w:rsidRPr="00BE3D82">
        <w:rPr>
          <w:rFonts w:asciiTheme="minorHAnsi" w:hAnsiTheme="minorHAnsi" w:cstheme="minorHAnsi"/>
          <w:color w:val="1F3864" w:themeColor="accent1" w:themeShade="80"/>
          <w:sz w:val="22"/>
          <w:szCs w:val="22"/>
        </w:rPr>
        <w:t xml:space="preserve">” period — using established historiographical sources (e.g., Davies &amp; Woodward, 2014, </w:t>
      </w:r>
      <w:r w:rsidRPr="00BE3D82">
        <w:rPr>
          <w:rFonts w:asciiTheme="minorHAnsi" w:hAnsiTheme="minorHAnsi" w:cstheme="minorHAnsi"/>
          <w:i/>
          <w:iCs/>
          <w:color w:val="1F3864" w:themeColor="accent1" w:themeShade="80"/>
          <w:sz w:val="22"/>
          <w:szCs w:val="22"/>
        </w:rPr>
        <w:t>International Organisations: An Early History</w:t>
      </w:r>
      <w:r w:rsidRPr="00BE3D82">
        <w:rPr>
          <w:rFonts w:asciiTheme="minorHAnsi" w:hAnsiTheme="minorHAnsi" w:cstheme="minorHAnsi"/>
          <w:color w:val="1F3864" w:themeColor="accent1" w:themeShade="80"/>
          <w:sz w:val="22"/>
          <w:szCs w:val="22"/>
        </w:rPr>
        <w:t xml:space="preserve">). This categorical structure allows the temporal clustering of institutional formation to be read alongside watershed geopolitical and economic transformations. Second, two density measures were derived: </w:t>
      </w:r>
      <w:r w:rsidRPr="00BE3D82">
        <w:rPr>
          <w:rFonts w:asciiTheme="minorHAnsi" w:hAnsiTheme="minorHAnsi" w:cstheme="minorHAnsi"/>
          <w:b/>
          <w:bCs/>
          <w:color w:val="1F3864" w:themeColor="accent1" w:themeShade="80"/>
          <w:sz w:val="22"/>
          <w:szCs w:val="22"/>
        </w:rPr>
        <w:t>FoundingDensity_5yr</w:t>
      </w:r>
      <w:r w:rsidRPr="00BE3D82">
        <w:rPr>
          <w:rFonts w:asciiTheme="minorHAnsi" w:hAnsiTheme="minorHAnsi" w:cstheme="minorHAnsi"/>
          <w:color w:val="1F3864" w:themeColor="accent1" w:themeShade="80"/>
          <w:sz w:val="22"/>
          <w:szCs w:val="22"/>
        </w:rPr>
        <w:t xml:space="preserve"> (the number of IGOs founded within a ±2</w:t>
      </w:r>
      <w:r w:rsidRPr="00BE3D82">
        <w:rPr>
          <w:rFonts w:asciiTheme="minorHAnsi" w:hAnsiTheme="minorHAnsi" w:cstheme="minorHAnsi"/>
          <w:color w:val="1F3864" w:themeColor="accent1" w:themeShade="80"/>
          <w:sz w:val="22"/>
          <w:szCs w:val="22"/>
        </w:rPr>
        <w:noBreakHyphen/>
        <w:t xml:space="preserve">year window of the focal year) and </w:t>
      </w:r>
      <w:proofErr w:type="spellStart"/>
      <w:r w:rsidRPr="00BE3D82">
        <w:rPr>
          <w:rFonts w:asciiTheme="minorHAnsi" w:hAnsiTheme="minorHAnsi" w:cstheme="minorHAnsi"/>
          <w:b/>
          <w:bCs/>
          <w:color w:val="1F3864" w:themeColor="accent1" w:themeShade="80"/>
          <w:sz w:val="22"/>
          <w:szCs w:val="22"/>
        </w:rPr>
        <w:t>CumulativeStock</w:t>
      </w:r>
      <w:proofErr w:type="spellEnd"/>
      <w:r w:rsidRPr="00BE3D82">
        <w:rPr>
          <w:rFonts w:asciiTheme="minorHAnsi" w:hAnsiTheme="minorHAnsi" w:cstheme="minorHAnsi"/>
          <w:color w:val="1F3864" w:themeColor="accent1" w:themeShade="80"/>
          <w:sz w:val="22"/>
          <w:szCs w:val="22"/>
        </w:rPr>
        <w:t xml:space="preserve"> (the total number of IGOs in existence up to and including the focal year). These operationalise organisational</w:t>
      </w:r>
      <w:r w:rsidRPr="00BE3D82">
        <w:rPr>
          <w:rFonts w:asciiTheme="minorHAnsi" w:hAnsiTheme="minorHAnsi" w:cstheme="minorHAnsi"/>
          <w:color w:val="1F3864" w:themeColor="accent1" w:themeShade="80"/>
          <w:sz w:val="22"/>
          <w:szCs w:val="22"/>
        </w:rPr>
        <w:noBreakHyphen/>
        <w:t>ecology mechanisms — including liability of newness, adolescence, and senescence, as well as cohort effects and density dependence — for hypothesis testing in conjunction with other governance attributes (Stinchcombe, 1965; Hannan &amp; Freeman, 1989; Carroll &amp; Hannan, 2000). Table X applies this framework to assign each IGO to its founding</w:t>
      </w:r>
      <w:r w:rsidRPr="00BE3D82">
        <w:rPr>
          <w:rFonts w:asciiTheme="minorHAnsi" w:hAnsiTheme="minorHAnsi" w:cstheme="minorHAnsi"/>
          <w:color w:val="1F3864" w:themeColor="accent1" w:themeShade="80"/>
          <w:sz w:val="22"/>
          <w:szCs w:val="22"/>
        </w:rPr>
        <w:noBreakHyphen/>
        <w:t>era category, supported by literature</w:t>
      </w:r>
      <w:r w:rsidR="00E4681A">
        <w:rPr>
          <w:rFonts w:asciiTheme="minorHAnsi" w:hAnsiTheme="minorHAnsi" w:cstheme="minorHAnsi"/>
          <w:color w:val="1F3864" w:themeColor="accent1" w:themeShade="80"/>
          <w:sz w:val="22"/>
          <w:szCs w:val="22"/>
        </w:rPr>
        <w:t>-</w:t>
      </w:r>
      <w:r w:rsidRPr="00BE3D82">
        <w:rPr>
          <w:rFonts w:asciiTheme="minorHAnsi" w:hAnsiTheme="minorHAnsi" w:cstheme="minorHAnsi"/>
          <w:color w:val="1F3864" w:themeColor="accent1" w:themeShade="80"/>
          <w:sz w:val="22"/>
          <w:szCs w:val="22"/>
        </w:rPr>
        <w:t>based justifications and the corresponding historical</w:t>
      </w:r>
      <w:r w:rsidRPr="00BE3D82">
        <w:rPr>
          <w:rFonts w:asciiTheme="minorHAnsi" w:hAnsiTheme="minorHAnsi" w:cstheme="minorHAnsi"/>
          <w:color w:val="1F3864" w:themeColor="accent1" w:themeShade="80"/>
          <w:sz w:val="22"/>
          <w:szCs w:val="22"/>
        </w:rPr>
        <w:noBreakHyphen/>
        <w:t>political context.</w:t>
      </w:r>
    </w:p>
    <w:p w14:paraId="3DA4AD3F" w14:textId="77777777" w:rsidR="00BE3D82" w:rsidRPr="00507DCC" w:rsidRDefault="00BE3D82" w:rsidP="00507DCC">
      <w:pPr>
        <w:rPr>
          <w:rFonts w:asciiTheme="minorHAnsi" w:hAnsiTheme="minorHAnsi" w:cstheme="minorHAnsi"/>
          <w:b/>
          <w:bCs/>
          <w:color w:val="1F3864" w:themeColor="accent1" w:themeShade="80"/>
          <w:sz w:val="22"/>
          <w:szCs w:val="22"/>
        </w:rPr>
      </w:pPr>
    </w:p>
    <w:p w14:paraId="53B90C9D" w14:textId="3B529ECA" w:rsidR="00507DCC" w:rsidRDefault="00507DCC" w:rsidP="00507DCC">
      <w:pPr>
        <w:rPr>
          <w:rFonts w:asciiTheme="minorHAnsi" w:hAnsiTheme="minorHAnsi" w:cstheme="minorHAnsi"/>
          <w:b/>
          <w:bCs/>
          <w:color w:val="1F3864" w:themeColor="accent1" w:themeShade="80"/>
          <w:sz w:val="22"/>
          <w:szCs w:val="22"/>
        </w:rPr>
      </w:pPr>
      <w:r w:rsidRPr="00507DCC">
        <w:rPr>
          <w:rFonts w:asciiTheme="minorHAnsi" w:hAnsiTheme="minorHAnsi" w:cstheme="minorHAnsi"/>
          <w:b/>
          <w:bCs/>
          <w:color w:val="1F3864" w:themeColor="accent1" w:themeShade="80"/>
          <w:sz w:val="22"/>
          <w:szCs w:val="22"/>
        </w:rPr>
        <w:t>Comprehensive Table: Year of Establishment — IGOs in Global Ocean Economy Governance</w:t>
      </w:r>
    </w:p>
    <w:p w14:paraId="5E692B33" w14:textId="77777777" w:rsidR="00507DCC" w:rsidRPr="00507DCC" w:rsidRDefault="00507DCC" w:rsidP="00507DCC">
      <w:pPr>
        <w:rPr>
          <w:rFonts w:asciiTheme="minorHAnsi" w:hAnsiTheme="minorHAnsi" w:cstheme="minorHAnsi"/>
          <w:b/>
          <w:bCs/>
          <w:color w:val="1F3864" w:themeColor="accent1" w:themeShade="80"/>
          <w:sz w:val="22"/>
          <w:szCs w:val="22"/>
        </w:rPr>
      </w:pPr>
    </w:p>
    <w:tbl>
      <w:tblPr>
        <w:tblStyle w:val="TableGrid"/>
        <w:tblW w:w="0" w:type="auto"/>
        <w:tblLook w:val="04A0" w:firstRow="1" w:lastRow="0" w:firstColumn="1" w:lastColumn="0" w:noHBand="0" w:noVBand="1"/>
      </w:tblPr>
      <w:tblGrid>
        <w:gridCol w:w="1994"/>
        <w:gridCol w:w="2061"/>
        <w:gridCol w:w="2771"/>
        <w:gridCol w:w="2190"/>
      </w:tblGrid>
      <w:tr w:rsidR="00507DCC" w:rsidRPr="00507DCC" w14:paraId="34C9E35F" w14:textId="77777777" w:rsidTr="00507DCC">
        <w:tc>
          <w:tcPr>
            <w:tcW w:w="0" w:type="auto"/>
            <w:hideMark/>
          </w:tcPr>
          <w:p w14:paraId="7D25CBDB"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Founding Era Category</w:t>
            </w:r>
          </w:p>
        </w:tc>
        <w:tc>
          <w:tcPr>
            <w:tcW w:w="0" w:type="auto"/>
            <w:hideMark/>
          </w:tcPr>
          <w:p w14:paraId="2E0A952F"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Key Sources</w:t>
            </w:r>
          </w:p>
        </w:tc>
        <w:tc>
          <w:tcPr>
            <w:tcW w:w="0" w:type="auto"/>
            <w:hideMark/>
          </w:tcPr>
          <w:p w14:paraId="6709F2E1"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What the Sources Say (Justification)</w:t>
            </w:r>
          </w:p>
        </w:tc>
        <w:tc>
          <w:tcPr>
            <w:tcW w:w="0" w:type="auto"/>
            <w:hideMark/>
          </w:tcPr>
          <w:p w14:paraId="03B79488"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Historical / Political Context</w:t>
            </w:r>
          </w:p>
        </w:tc>
      </w:tr>
      <w:tr w:rsidR="00507DCC" w:rsidRPr="00507DCC" w14:paraId="5B084D22" w14:textId="77777777" w:rsidTr="00507DCC">
        <w:tc>
          <w:tcPr>
            <w:tcW w:w="0" w:type="auto"/>
            <w:hideMark/>
          </w:tcPr>
          <w:p w14:paraId="402495AB"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Pre</w:t>
            </w:r>
            <w:r w:rsidRPr="00507DCC">
              <w:rPr>
                <w:rFonts w:asciiTheme="minorHAnsi" w:hAnsiTheme="minorHAnsi" w:cstheme="minorHAnsi"/>
                <w:color w:val="1F3864" w:themeColor="accent1" w:themeShade="80"/>
                <w:sz w:val="22"/>
                <w:szCs w:val="22"/>
              </w:rPr>
              <w:noBreakHyphen/>
              <w:t>1900 – Early Founding Years</w:t>
            </w:r>
          </w:p>
        </w:tc>
        <w:tc>
          <w:tcPr>
            <w:tcW w:w="0" w:type="auto"/>
            <w:hideMark/>
          </w:tcPr>
          <w:p w14:paraId="568E9903" w14:textId="77777777" w:rsidR="00507DCC" w:rsidRPr="00507DCC" w:rsidRDefault="00507DCC" w:rsidP="00507DCC">
            <w:pPr>
              <w:rPr>
                <w:rFonts w:asciiTheme="minorHAnsi" w:hAnsiTheme="minorHAnsi" w:cstheme="minorHAnsi"/>
                <w:color w:val="1F3864" w:themeColor="accent1" w:themeShade="80"/>
                <w:sz w:val="22"/>
                <w:szCs w:val="22"/>
              </w:rPr>
            </w:pPr>
            <w:hyperlink r:id="rId5" w:history="1">
              <w:r w:rsidRPr="00507DCC">
                <w:rPr>
                  <w:rStyle w:val="Hyperlink"/>
                  <w:rFonts w:asciiTheme="minorHAnsi" w:hAnsiTheme="minorHAnsi" w:cstheme="minorHAnsi"/>
                  <w:color w:val="023160" w:themeColor="hyperlink" w:themeShade="80"/>
                  <w:sz w:val="22"/>
                  <w:szCs w:val="22"/>
                </w:rPr>
                <w:t>Davies &amp; Woodward (2014)</w:t>
              </w:r>
            </w:hyperlink>
            <w:r w:rsidRPr="00507DCC">
              <w:rPr>
                <w:rFonts w:asciiTheme="minorHAnsi" w:hAnsiTheme="minorHAnsi" w:cstheme="minorHAnsi"/>
                <w:color w:val="1F3864" w:themeColor="accent1" w:themeShade="80"/>
                <w:sz w:val="22"/>
                <w:szCs w:val="22"/>
              </w:rPr>
              <w:t xml:space="preserve">; </w:t>
            </w:r>
            <w:hyperlink r:id="rId6" w:history="1">
              <w:proofErr w:type="spellStart"/>
              <w:r w:rsidRPr="00507DCC">
                <w:rPr>
                  <w:rStyle w:val="Hyperlink"/>
                  <w:rFonts w:asciiTheme="minorHAnsi" w:hAnsiTheme="minorHAnsi" w:cstheme="minorHAnsi"/>
                  <w:color w:val="023160" w:themeColor="hyperlink" w:themeShade="80"/>
                  <w:sz w:val="22"/>
                  <w:szCs w:val="22"/>
                </w:rPr>
                <w:t>Reinalda</w:t>
              </w:r>
              <w:proofErr w:type="spellEnd"/>
              <w:r w:rsidRPr="00507DCC">
                <w:rPr>
                  <w:rStyle w:val="Hyperlink"/>
                  <w:rFonts w:asciiTheme="minorHAnsi" w:hAnsiTheme="minorHAnsi" w:cstheme="minorHAnsi"/>
                  <w:color w:val="023160" w:themeColor="hyperlink" w:themeShade="80"/>
                  <w:sz w:val="22"/>
                  <w:szCs w:val="22"/>
                </w:rPr>
                <w:t> (2009)</w:t>
              </w:r>
            </w:hyperlink>
          </w:p>
        </w:tc>
        <w:tc>
          <w:tcPr>
            <w:tcW w:w="0" w:type="auto"/>
            <w:hideMark/>
          </w:tcPr>
          <w:p w14:paraId="3790E467"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 xml:space="preserve">Davies &amp; Woodward (2014) and </w:t>
            </w:r>
            <w:proofErr w:type="spellStart"/>
            <w:r w:rsidRPr="00507DCC">
              <w:rPr>
                <w:rFonts w:asciiTheme="minorHAnsi" w:hAnsiTheme="minorHAnsi" w:cstheme="minorHAnsi"/>
                <w:color w:val="1F3864" w:themeColor="accent1" w:themeShade="80"/>
                <w:sz w:val="22"/>
                <w:szCs w:val="22"/>
              </w:rPr>
              <w:t>Reinalda</w:t>
            </w:r>
            <w:proofErr w:type="spellEnd"/>
            <w:r w:rsidRPr="00507DCC">
              <w:rPr>
                <w:rFonts w:asciiTheme="minorHAnsi" w:hAnsiTheme="minorHAnsi" w:cstheme="minorHAnsi"/>
                <w:color w:val="1F3864" w:themeColor="accent1" w:themeShade="80"/>
                <w:sz w:val="22"/>
                <w:szCs w:val="22"/>
              </w:rPr>
              <w:t> (2009) note that early functional IGOs in navigation, postal services, and telegraphy pioneered multilateral treaties and permanent secretariats — institutional templates for later governance in technical and sectoral domains.</w:t>
            </w:r>
          </w:p>
        </w:tc>
        <w:tc>
          <w:tcPr>
            <w:tcW w:w="0" w:type="auto"/>
            <w:hideMark/>
          </w:tcPr>
          <w:p w14:paraId="4C9714DD"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Emergence of first permanent IGOs, primarily technical in scope, laying administrative groundwork for later ocean governance bodies.</w:t>
            </w:r>
          </w:p>
        </w:tc>
      </w:tr>
      <w:tr w:rsidR="00507DCC" w:rsidRPr="00507DCC" w14:paraId="60907264" w14:textId="77777777" w:rsidTr="00507DCC">
        <w:tc>
          <w:tcPr>
            <w:tcW w:w="0" w:type="auto"/>
            <w:hideMark/>
          </w:tcPr>
          <w:p w14:paraId="6883EBF0"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1900–1918 – Pre</w:t>
            </w:r>
            <w:r w:rsidRPr="00507DCC">
              <w:rPr>
                <w:rFonts w:asciiTheme="minorHAnsi" w:hAnsiTheme="minorHAnsi" w:cstheme="minorHAnsi"/>
                <w:color w:val="1F3864" w:themeColor="accent1" w:themeShade="80"/>
                <w:sz w:val="22"/>
                <w:szCs w:val="22"/>
              </w:rPr>
              <w:noBreakHyphen/>
              <w:t>WWI Modernisation</w:t>
            </w:r>
          </w:p>
        </w:tc>
        <w:tc>
          <w:tcPr>
            <w:tcW w:w="0" w:type="auto"/>
            <w:hideMark/>
          </w:tcPr>
          <w:p w14:paraId="27FF472E" w14:textId="77777777" w:rsidR="00507DCC" w:rsidRPr="00507DCC" w:rsidRDefault="00507DCC" w:rsidP="00507DCC">
            <w:pPr>
              <w:rPr>
                <w:rFonts w:asciiTheme="minorHAnsi" w:hAnsiTheme="minorHAnsi" w:cstheme="minorHAnsi"/>
                <w:color w:val="1F3864" w:themeColor="accent1" w:themeShade="80"/>
                <w:sz w:val="22"/>
                <w:szCs w:val="22"/>
              </w:rPr>
            </w:pPr>
            <w:hyperlink r:id="rId7" w:history="1">
              <w:proofErr w:type="spellStart"/>
              <w:r w:rsidRPr="00507DCC">
                <w:rPr>
                  <w:rStyle w:val="Hyperlink"/>
                  <w:rFonts w:asciiTheme="minorHAnsi" w:hAnsiTheme="minorHAnsi" w:cstheme="minorHAnsi"/>
                  <w:color w:val="023160" w:themeColor="hyperlink" w:themeShade="80"/>
                  <w:sz w:val="22"/>
                  <w:szCs w:val="22"/>
                </w:rPr>
                <w:t>Clavin</w:t>
              </w:r>
              <w:proofErr w:type="spellEnd"/>
              <w:r w:rsidRPr="00507DCC">
                <w:rPr>
                  <w:rStyle w:val="Hyperlink"/>
                  <w:rFonts w:asciiTheme="minorHAnsi" w:hAnsiTheme="minorHAnsi" w:cstheme="minorHAnsi"/>
                  <w:color w:val="023160" w:themeColor="hyperlink" w:themeShade="80"/>
                  <w:sz w:val="22"/>
                  <w:szCs w:val="22"/>
                </w:rPr>
                <w:t> (2013)</w:t>
              </w:r>
            </w:hyperlink>
          </w:p>
        </w:tc>
        <w:tc>
          <w:tcPr>
            <w:tcW w:w="0" w:type="auto"/>
            <w:hideMark/>
          </w:tcPr>
          <w:p w14:paraId="075A8642" w14:textId="77777777" w:rsidR="00507DCC" w:rsidRPr="00507DCC" w:rsidRDefault="00507DCC" w:rsidP="00507DCC">
            <w:pPr>
              <w:rPr>
                <w:rFonts w:asciiTheme="minorHAnsi" w:hAnsiTheme="minorHAnsi" w:cstheme="minorHAnsi"/>
                <w:color w:val="1F3864" w:themeColor="accent1" w:themeShade="80"/>
                <w:sz w:val="22"/>
                <w:szCs w:val="22"/>
              </w:rPr>
            </w:pPr>
            <w:proofErr w:type="spellStart"/>
            <w:r w:rsidRPr="00507DCC">
              <w:rPr>
                <w:rFonts w:asciiTheme="minorHAnsi" w:hAnsiTheme="minorHAnsi" w:cstheme="minorHAnsi"/>
                <w:color w:val="1F3864" w:themeColor="accent1" w:themeShade="80"/>
                <w:sz w:val="22"/>
                <w:szCs w:val="22"/>
              </w:rPr>
              <w:t>Clavin</w:t>
            </w:r>
            <w:proofErr w:type="spellEnd"/>
            <w:r w:rsidRPr="00507DCC">
              <w:rPr>
                <w:rFonts w:asciiTheme="minorHAnsi" w:hAnsiTheme="minorHAnsi" w:cstheme="minorHAnsi"/>
                <w:color w:val="1F3864" w:themeColor="accent1" w:themeShade="80"/>
                <w:sz w:val="22"/>
                <w:szCs w:val="22"/>
              </w:rPr>
              <w:t> (2013) charts intensifying proto</w:t>
            </w:r>
            <w:r w:rsidRPr="00507DCC">
              <w:rPr>
                <w:rFonts w:asciiTheme="minorHAnsi" w:hAnsiTheme="minorHAnsi" w:cstheme="minorHAnsi"/>
                <w:color w:val="1F3864" w:themeColor="accent1" w:themeShade="80"/>
                <w:sz w:val="22"/>
                <w:szCs w:val="22"/>
              </w:rPr>
              <w:noBreakHyphen/>
              <w:t>multilateral economic coordination and the creation of international infrastructures for trade, finance, and technical cooperation that would shape interwar governance.</w:t>
            </w:r>
          </w:p>
        </w:tc>
        <w:tc>
          <w:tcPr>
            <w:tcW w:w="0" w:type="auto"/>
            <w:hideMark/>
          </w:tcPr>
          <w:p w14:paraId="36DD3D96"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Rise of modern multilateralism amid industrial expansion, colonial competition, and growing international economic interdependence.</w:t>
            </w:r>
          </w:p>
        </w:tc>
      </w:tr>
      <w:tr w:rsidR="00507DCC" w:rsidRPr="00507DCC" w14:paraId="599E405B" w14:textId="77777777" w:rsidTr="00507DCC">
        <w:tc>
          <w:tcPr>
            <w:tcW w:w="0" w:type="auto"/>
            <w:hideMark/>
          </w:tcPr>
          <w:p w14:paraId="20814A6F"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1919–1945 – Interwar &amp; League Era</w:t>
            </w:r>
          </w:p>
        </w:tc>
        <w:tc>
          <w:tcPr>
            <w:tcW w:w="0" w:type="auto"/>
            <w:hideMark/>
          </w:tcPr>
          <w:p w14:paraId="1B115194" w14:textId="77777777" w:rsidR="00507DCC" w:rsidRPr="00507DCC" w:rsidRDefault="00507DCC" w:rsidP="00507DCC">
            <w:pPr>
              <w:rPr>
                <w:rFonts w:asciiTheme="minorHAnsi" w:hAnsiTheme="minorHAnsi" w:cstheme="minorHAnsi"/>
                <w:color w:val="1F3864" w:themeColor="accent1" w:themeShade="80"/>
                <w:sz w:val="22"/>
                <w:szCs w:val="22"/>
              </w:rPr>
            </w:pPr>
            <w:hyperlink r:id="rId8" w:history="1">
              <w:r w:rsidRPr="00507DCC">
                <w:rPr>
                  <w:rStyle w:val="Hyperlink"/>
                  <w:rFonts w:asciiTheme="minorHAnsi" w:hAnsiTheme="minorHAnsi" w:cstheme="minorHAnsi"/>
                  <w:color w:val="023160" w:themeColor="hyperlink" w:themeShade="80"/>
                  <w:sz w:val="22"/>
                  <w:szCs w:val="22"/>
                </w:rPr>
                <w:t>Kennedy (1987)</w:t>
              </w:r>
            </w:hyperlink>
            <w:r w:rsidRPr="00507DCC">
              <w:rPr>
                <w:rFonts w:asciiTheme="minorHAnsi" w:hAnsiTheme="minorHAnsi" w:cstheme="minorHAnsi"/>
                <w:color w:val="1F3864" w:themeColor="accent1" w:themeShade="80"/>
                <w:sz w:val="22"/>
                <w:szCs w:val="22"/>
              </w:rPr>
              <w:t xml:space="preserve">; </w:t>
            </w:r>
            <w:hyperlink r:id="rId9" w:history="1">
              <w:proofErr w:type="spellStart"/>
              <w:r w:rsidRPr="00507DCC">
                <w:rPr>
                  <w:rStyle w:val="Hyperlink"/>
                  <w:rFonts w:asciiTheme="minorHAnsi" w:hAnsiTheme="minorHAnsi" w:cstheme="minorHAnsi"/>
                  <w:color w:val="023160" w:themeColor="hyperlink" w:themeShade="80"/>
                  <w:sz w:val="22"/>
                  <w:szCs w:val="22"/>
                </w:rPr>
                <w:t>Clavin</w:t>
              </w:r>
              <w:proofErr w:type="spellEnd"/>
              <w:r w:rsidRPr="00507DCC">
                <w:rPr>
                  <w:rStyle w:val="Hyperlink"/>
                  <w:rFonts w:asciiTheme="minorHAnsi" w:hAnsiTheme="minorHAnsi" w:cstheme="minorHAnsi"/>
                  <w:color w:val="023160" w:themeColor="hyperlink" w:themeShade="80"/>
                  <w:sz w:val="22"/>
                  <w:szCs w:val="22"/>
                </w:rPr>
                <w:t> (2013)</w:t>
              </w:r>
            </w:hyperlink>
          </w:p>
        </w:tc>
        <w:tc>
          <w:tcPr>
            <w:tcW w:w="0" w:type="auto"/>
            <w:hideMark/>
          </w:tcPr>
          <w:p w14:paraId="027358A9"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 xml:space="preserve">Kennedy (1987) highlights the League of Nations as institutionalising political and economic cooperation; </w:t>
            </w:r>
            <w:proofErr w:type="spellStart"/>
            <w:r w:rsidRPr="00507DCC">
              <w:rPr>
                <w:rFonts w:asciiTheme="minorHAnsi" w:hAnsiTheme="minorHAnsi" w:cstheme="minorHAnsi"/>
                <w:color w:val="1F3864" w:themeColor="accent1" w:themeShade="80"/>
                <w:sz w:val="22"/>
                <w:szCs w:val="22"/>
              </w:rPr>
              <w:t>Clavin</w:t>
            </w:r>
            <w:proofErr w:type="spellEnd"/>
            <w:r w:rsidRPr="00507DCC">
              <w:rPr>
                <w:rFonts w:asciiTheme="minorHAnsi" w:hAnsiTheme="minorHAnsi" w:cstheme="minorHAnsi"/>
                <w:color w:val="1F3864" w:themeColor="accent1" w:themeShade="80"/>
                <w:sz w:val="22"/>
                <w:szCs w:val="22"/>
              </w:rPr>
              <w:t xml:space="preserve"> (2013) shows interwar technical </w:t>
            </w:r>
            <w:r w:rsidRPr="00507DCC">
              <w:rPr>
                <w:rFonts w:asciiTheme="minorHAnsi" w:hAnsiTheme="minorHAnsi" w:cstheme="minorHAnsi"/>
                <w:color w:val="1F3864" w:themeColor="accent1" w:themeShade="80"/>
                <w:sz w:val="22"/>
                <w:szCs w:val="22"/>
              </w:rPr>
              <w:lastRenderedPageBreak/>
              <w:t>organisations expanding despite geopolitical fragility.</w:t>
            </w:r>
          </w:p>
        </w:tc>
        <w:tc>
          <w:tcPr>
            <w:tcW w:w="0" w:type="auto"/>
            <w:hideMark/>
          </w:tcPr>
          <w:p w14:paraId="1E1D0039"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lastRenderedPageBreak/>
              <w:t xml:space="preserve">Creation of the League of Nations and proliferation of technical agencies — early experiments in collective security </w:t>
            </w:r>
            <w:r w:rsidRPr="00507DCC">
              <w:rPr>
                <w:rFonts w:asciiTheme="minorHAnsi" w:hAnsiTheme="minorHAnsi" w:cstheme="minorHAnsi"/>
                <w:color w:val="1F3864" w:themeColor="accent1" w:themeShade="80"/>
                <w:sz w:val="22"/>
                <w:szCs w:val="22"/>
              </w:rPr>
              <w:lastRenderedPageBreak/>
              <w:t>and economic cooperation.</w:t>
            </w:r>
          </w:p>
        </w:tc>
      </w:tr>
      <w:tr w:rsidR="00507DCC" w:rsidRPr="00507DCC" w14:paraId="63EFE515" w14:textId="77777777" w:rsidTr="00507DCC">
        <w:tc>
          <w:tcPr>
            <w:tcW w:w="0" w:type="auto"/>
            <w:hideMark/>
          </w:tcPr>
          <w:p w14:paraId="2717D600"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lastRenderedPageBreak/>
              <w:t>1945–1959 – Post</w:t>
            </w:r>
            <w:r w:rsidRPr="00507DCC">
              <w:rPr>
                <w:rFonts w:asciiTheme="minorHAnsi" w:hAnsiTheme="minorHAnsi" w:cstheme="minorHAnsi"/>
                <w:color w:val="1F3864" w:themeColor="accent1" w:themeShade="80"/>
                <w:sz w:val="22"/>
                <w:szCs w:val="22"/>
              </w:rPr>
              <w:noBreakHyphen/>
              <w:t>WWII Boom</w:t>
            </w:r>
          </w:p>
        </w:tc>
        <w:tc>
          <w:tcPr>
            <w:tcW w:w="0" w:type="auto"/>
            <w:hideMark/>
          </w:tcPr>
          <w:p w14:paraId="587989E7" w14:textId="77777777" w:rsidR="00507DCC" w:rsidRPr="00507DCC" w:rsidRDefault="00507DCC" w:rsidP="00507DCC">
            <w:pPr>
              <w:rPr>
                <w:rFonts w:asciiTheme="minorHAnsi" w:hAnsiTheme="minorHAnsi" w:cstheme="minorHAnsi"/>
                <w:color w:val="1F3864" w:themeColor="accent1" w:themeShade="80"/>
                <w:sz w:val="22"/>
                <w:szCs w:val="22"/>
              </w:rPr>
            </w:pPr>
            <w:hyperlink r:id="rId10" w:history="1">
              <w:proofErr w:type="spellStart"/>
              <w:r w:rsidRPr="00507DCC">
                <w:rPr>
                  <w:rStyle w:val="Hyperlink"/>
                  <w:rFonts w:asciiTheme="minorHAnsi" w:hAnsiTheme="minorHAnsi" w:cstheme="minorHAnsi"/>
                  <w:color w:val="023160" w:themeColor="hyperlink" w:themeShade="80"/>
                  <w:sz w:val="22"/>
                  <w:szCs w:val="22"/>
                </w:rPr>
                <w:t>Iriye</w:t>
              </w:r>
              <w:proofErr w:type="spellEnd"/>
              <w:r w:rsidRPr="00507DCC">
                <w:rPr>
                  <w:rStyle w:val="Hyperlink"/>
                  <w:rFonts w:asciiTheme="minorHAnsi" w:hAnsiTheme="minorHAnsi" w:cstheme="minorHAnsi"/>
                  <w:color w:val="023160" w:themeColor="hyperlink" w:themeShade="80"/>
                  <w:sz w:val="22"/>
                  <w:szCs w:val="22"/>
                </w:rPr>
                <w:t> (2002)</w:t>
              </w:r>
            </w:hyperlink>
            <w:r w:rsidRPr="00507DCC">
              <w:rPr>
                <w:rFonts w:asciiTheme="minorHAnsi" w:hAnsiTheme="minorHAnsi" w:cstheme="minorHAnsi"/>
                <w:color w:val="1F3864" w:themeColor="accent1" w:themeShade="80"/>
                <w:sz w:val="22"/>
                <w:szCs w:val="22"/>
              </w:rPr>
              <w:t xml:space="preserve">; </w:t>
            </w:r>
            <w:hyperlink r:id="rId11" w:history="1">
              <w:r w:rsidRPr="00507DCC">
                <w:rPr>
                  <w:rStyle w:val="Hyperlink"/>
                  <w:rFonts w:asciiTheme="minorHAnsi" w:hAnsiTheme="minorHAnsi" w:cstheme="minorHAnsi"/>
                  <w:color w:val="023160" w:themeColor="hyperlink" w:themeShade="80"/>
                  <w:sz w:val="22"/>
                  <w:szCs w:val="22"/>
                </w:rPr>
                <w:t>Hobsbawm (1994)</w:t>
              </w:r>
            </w:hyperlink>
          </w:p>
        </w:tc>
        <w:tc>
          <w:tcPr>
            <w:tcW w:w="0" w:type="auto"/>
            <w:hideMark/>
          </w:tcPr>
          <w:p w14:paraId="49AC3CD5" w14:textId="77777777" w:rsidR="00507DCC" w:rsidRPr="00507DCC" w:rsidRDefault="00507DCC" w:rsidP="00507DCC">
            <w:pPr>
              <w:rPr>
                <w:rFonts w:asciiTheme="minorHAnsi" w:hAnsiTheme="minorHAnsi" w:cstheme="minorHAnsi"/>
                <w:color w:val="1F3864" w:themeColor="accent1" w:themeShade="80"/>
                <w:sz w:val="22"/>
                <w:szCs w:val="22"/>
              </w:rPr>
            </w:pPr>
            <w:proofErr w:type="spellStart"/>
            <w:r w:rsidRPr="00507DCC">
              <w:rPr>
                <w:rFonts w:asciiTheme="minorHAnsi" w:hAnsiTheme="minorHAnsi" w:cstheme="minorHAnsi"/>
                <w:color w:val="1F3864" w:themeColor="accent1" w:themeShade="80"/>
                <w:sz w:val="22"/>
                <w:szCs w:val="22"/>
              </w:rPr>
              <w:t>Iriye</w:t>
            </w:r>
            <w:proofErr w:type="spellEnd"/>
            <w:r w:rsidRPr="00507DCC">
              <w:rPr>
                <w:rFonts w:asciiTheme="minorHAnsi" w:hAnsiTheme="minorHAnsi" w:cstheme="minorHAnsi"/>
                <w:color w:val="1F3864" w:themeColor="accent1" w:themeShade="80"/>
                <w:sz w:val="22"/>
                <w:szCs w:val="22"/>
              </w:rPr>
              <w:t> (2002) describes the UN and Bretton Woods system as launching a rapid proliferation of IGOs; Hobsbawm (1994) situates this within postwar reconstruction and early decolonisation.</w:t>
            </w:r>
          </w:p>
        </w:tc>
        <w:tc>
          <w:tcPr>
            <w:tcW w:w="0" w:type="auto"/>
            <w:hideMark/>
          </w:tcPr>
          <w:p w14:paraId="6FA69004"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Founding of the UN system and Bretton Woods institutions; start of large</w:t>
            </w:r>
            <w:r w:rsidRPr="00507DCC">
              <w:rPr>
                <w:rFonts w:asciiTheme="minorHAnsi" w:hAnsiTheme="minorHAnsi" w:cstheme="minorHAnsi"/>
                <w:color w:val="1F3864" w:themeColor="accent1" w:themeShade="80"/>
                <w:sz w:val="22"/>
                <w:szCs w:val="22"/>
              </w:rPr>
              <w:noBreakHyphen/>
              <w:t>scale decolonisation.</w:t>
            </w:r>
          </w:p>
        </w:tc>
      </w:tr>
      <w:tr w:rsidR="00507DCC" w:rsidRPr="00507DCC" w14:paraId="49E0B43E" w14:textId="77777777" w:rsidTr="00507DCC">
        <w:tc>
          <w:tcPr>
            <w:tcW w:w="0" w:type="auto"/>
            <w:hideMark/>
          </w:tcPr>
          <w:p w14:paraId="05344B99"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1960–1979 – Cold War Developmentalism</w:t>
            </w:r>
          </w:p>
        </w:tc>
        <w:tc>
          <w:tcPr>
            <w:tcW w:w="0" w:type="auto"/>
            <w:hideMark/>
          </w:tcPr>
          <w:p w14:paraId="4244CE73" w14:textId="77777777" w:rsidR="00507DCC" w:rsidRPr="00507DCC" w:rsidRDefault="00507DCC" w:rsidP="00507DCC">
            <w:pPr>
              <w:rPr>
                <w:rFonts w:asciiTheme="minorHAnsi" w:hAnsiTheme="minorHAnsi" w:cstheme="minorHAnsi"/>
                <w:color w:val="1F3864" w:themeColor="accent1" w:themeShade="80"/>
                <w:sz w:val="22"/>
                <w:szCs w:val="22"/>
              </w:rPr>
            </w:pPr>
            <w:hyperlink r:id="rId12" w:history="1">
              <w:proofErr w:type="spellStart"/>
              <w:r w:rsidRPr="00507DCC">
                <w:rPr>
                  <w:rStyle w:val="Hyperlink"/>
                  <w:rFonts w:asciiTheme="minorHAnsi" w:hAnsiTheme="minorHAnsi" w:cstheme="minorHAnsi"/>
                  <w:color w:val="023160" w:themeColor="hyperlink" w:themeShade="80"/>
                  <w:sz w:val="22"/>
                  <w:szCs w:val="22"/>
                </w:rPr>
                <w:t>Westad</w:t>
              </w:r>
              <w:proofErr w:type="spellEnd"/>
              <w:r w:rsidRPr="00507DCC">
                <w:rPr>
                  <w:rStyle w:val="Hyperlink"/>
                  <w:rFonts w:asciiTheme="minorHAnsi" w:hAnsiTheme="minorHAnsi" w:cstheme="minorHAnsi"/>
                  <w:color w:val="023160" w:themeColor="hyperlink" w:themeShade="80"/>
                  <w:sz w:val="22"/>
                  <w:szCs w:val="22"/>
                </w:rPr>
                <w:t> (2005)</w:t>
              </w:r>
            </w:hyperlink>
            <w:r w:rsidRPr="00507DCC">
              <w:rPr>
                <w:rFonts w:asciiTheme="minorHAnsi" w:hAnsiTheme="minorHAnsi" w:cstheme="minorHAnsi"/>
                <w:color w:val="1F3864" w:themeColor="accent1" w:themeShade="80"/>
                <w:sz w:val="22"/>
                <w:szCs w:val="22"/>
              </w:rPr>
              <w:t xml:space="preserve">; </w:t>
            </w:r>
            <w:hyperlink r:id="rId13" w:history="1">
              <w:r w:rsidRPr="00507DCC">
                <w:rPr>
                  <w:rStyle w:val="Hyperlink"/>
                  <w:rFonts w:asciiTheme="minorHAnsi" w:hAnsiTheme="minorHAnsi" w:cstheme="minorHAnsi"/>
                  <w:color w:val="023160" w:themeColor="hyperlink" w:themeShade="80"/>
                  <w:sz w:val="22"/>
                  <w:szCs w:val="22"/>
                </w:rPr>
                <w:t>Haas (1964)</w:t>
              </w:r>
            </w:hyperlink>
          </w:p>
        </w:tc>
        <w:tc>
          <w:tcPr>
            <w:tcW w:w="0" w:type="auto"/>
            <w:hideMark/>
          </w:tcPr>
          <w:p w14:paraId="64B0EF83" w14:textId="77777777" w:rsidR="00507DCC" w:rsidRPr="00507DCC" w:rsidRDefault="00507DCC" w:rsidP="00507DCC">
            <w:pPr>
              <w:rPr>
                <w:rFonts w:asciiTheme="minorHAnsi" w:hAnsiTheme="minorHAnsi" w:cstheme="minorHAnsi"/>
                <w:color w:val="1F3864" w:themeColor="accent1" w:themeShade="80"/>
                <w:sz w:val="22"/>
                <w:szCs w:val="22"/>
              </w:rPr>
            </w:pPr>
            <w:proofErr w:type="spellStart"/>
            <w:r w:rsidRPr="00507DCC">
              <w:rPr>
                <w:rFonts w:asciiTheme="minorHAnsi" w:hAnsiTheme="minorHAnsi" w:cstheme="minorHAnsi"/>
                <w:color w:val="1F3864" w:themeColor="accent1" w:themeShade="80"/>
                <w:sz w:val="22"/>
                <w:szCs w:val="22"/>
              </w:rPr>
              <w:t>Westad</w:t>
            </w:r>
            <w:proofErr w:type="spellEnd"/>
            <w:r w:rsidRPr="00507DCC">
              <w:rPr>
                <w:rFonts w:asciiTheme="minorHAnsi" w:hAnsiTheme="minorHAnsi" w:cstheme="minorHAnsi"/>
                <w:color w:val="1F3864" w:themeColor="accent1" w:themeShade="80"/>
                <w:sz w:val="22"/>
                <w:szCs w:val="22"/>
              </w:rPr>
              <w:t> (2005) underscores IGOs as arenas of geopolitical rivalry and development aid; Haas (1964) emphasises functional spillover, including in marine science and fisheries governance.</w:t>
            </w:r>
          </w:p>
        </w:tc>
        <w:tc>
          <w:tcPr>
            <w:tcW w:w="0" w:type="auto"/>
            <w:hideMark/>
          </w:tcPr>
          <w:p w14:paraId="72E15758"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Expansion of regional and sectoral IGOs; development programming in fisheries, shipping, and science during superpower competition.</w:t>
            </w:r>
          </w:p>
        </w:tc>
      </w:tr>
      <w:tr w:rsidR="00507DCC" w:rsidRPr="00507DCC" w14:paraId="17FC1A9C" w14:textId="77777777" w:rsidTr="00507DCC">
        <w:tc>
          <w:tcPr>
            <w:tcW w:w="0" w:type="auto"/>
            <w:hideMark/>
          </w:tcPr>
          <w:p w14:paraId="4C6F904E"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1980–1989 – Late Cold War &amp; Restructuring</w:t>
            </w:r>
          </w:p>
        </w:tc>
        <w:tc>
          <w:tcPr>
            <w:tcW w:w="0" w:type="auto"/>
            <w:hideMark/>
          </w:tcPr>
          <w:p w14:paraId="6EFFDBBF" w14:textId="77777777" w:rsidR="00507DCC" w:rsidRPr="00507DCC" w:rsidRDefault="00507DCC" w:rsidP="00507DCC">
            <w:pPr>
              <w:rPr>
                <w:rFonts w:asciiTheme="minorHAnsi" w:hAnsiTheme="minorHAnsi" w:cstheme="minorHAnsi"/>
                <w:color w:val="1F3864" w:themeColor="accent1" w:themeShade="80"/>
                <w:sz w:val="22"/>
                <w:szCs w:val="22"/>
              </w:rPr>
            </w:pPr>
            <w:hyperlink r:id="rId14" w:history="1">
              <w:proofErr w:type="spellStart"/>
              <w:r w:rsidRPr="00507DCC">
                <w:rPr>
                  <w:rStyle w:val="Hyperlink"/>
                  <w:rFonts w:asciiTheme="minorHAnsi" w:hAnsiTheme="minorHAnsi" w:cstheme="minorHAnsi"/>
                  <w:color w:val="023160" w:themeColor="hyperlink" w:themeShade="80"/>
                  <w:sz w:val="22"/>
                  <w:szCs w:val="22"/>
                </w:rPr>
                <w:t>Ruggie</w:t>
              </w:r>
              <w:proofErr w:type="spellEnd"/>
              <w:r w:rsidRPr="00507DCC">
                <w:rPr>
                  <w:rStyle w:val="Hyperlink"/>
                  <w:rFonts w:asciiTheme="minorHAnsi" w:hAnsiTheme="minorHAnsi" w:cstheme="minorHAnsi"/>
                  <w:color w:val="023160" w:themeColor="hyperlink" w:themeShade="80"/>
                  <w:sz w:val="22"/>
                  <w:szCs w:val="22"/>
                </w:rPr>
                <w:t> (1982)</w:t>
              </w:r>
            </w:hyperlink>
            <w:r w:rsidRPr="00507DCC">
              <w:rPr>
                <w:rFonts w:asciiTheme="minorHAnsi" w:hAnsiTheme="minorHAnsi" w:cstheme="minorHAnsi"/>
                <w:color w:val="1F3864" w:themeColor="accent1" w:themeShade="80"/>
                <w:sz w:val="22"/>
                <w:szCs w:val="22"/>
              </w:rPr>
              <w:t xml:space="preserve">; </w:t>
            </w:r>
            <w:hyperlink r:id="rId15" w:history="1">
              <w:r w:rsidRPr="00507DCC">
                <w:rPr>
                  <w:rStyle w:val="Hyperlink"/>
                  <w:rFonts w:asciiTheme="minorHAnsi" w:hAnsiTheme="minorHAnsi" w:cstheme="minorHAnsi"/>
                  <w:color w:val="023160" w:themeColor="hyperlink" w:themeShade="80"/>
                  <w:sz w:val="22"/>
                  <w:szCs w:val="22"/>
                </w:rPr>
                <w:t>Keohane (1984)</w:t>
              </w:r>
            </w:hyperlink>
          </w:p>
        </w:tc>
        <w:tc>
          <w:tcPr>
            <w:tcW w:w="0" w:type="auto"/>
            <w:hideMark/>
          </w:tcPr>
          <w:p w14:paraId="689E1F4D" w14:textId="77777777" w:rsidR="00507DCC" w:rsidRPr="00507DCC" w:rsidRDefault="00507DCC" w:rsidP="00507DCC">
            <w:pPr>
              <w:rPr>
                <w:rFonts w:asciiTheme="minorHAnsi" w:hAnsiTheme="minorHAnsi" w:cstheme="minorHAnsi"/>
                <w:color w:val="1F3864" w:themeColor="accent1" w:themeShade="80"/>
                <w:sz w:val="22"/>
                <w:szCs w:val="22"/>
              </w:rPr>
            </w:pPr>
            <w:proofErr w:type="spellStart"/>
            <w:r w:rsidRPr="00507DCC">
              <w:rPr>
                <w:rFonts w:asciiTheme="minorHAnsi" w:hAnsiTheme="minorHAnsi" w:cstheme="minorHAnsi"/>
                <w:color w:val="1F3864" w:themeColor="accent1" w:themeShade="80"/>
                <w:sz w:val="22"/>
                <w:szCs w:val="22"/>
              </w:rPr>
              <w:t>Ruggie</w:t>
            </w:r>
            <w:proofErr w:type="spellEnd"/>
            <w:r w:rsidRPr="00507DCC">
              <w:rPr>
                <w:rFonts w:asciiTheme="minorHAnsi" w:hAnsiTheme="minorHAnsi" w:cstheme="minorHAnsi"/>
                <w:color w:val="1F3864" w:themeColor="accent1" w:themeShade="80"/>
                <w:sz w:val="22"/>
                <w:szCs w:val="22"/>
              </w:rPr>
              <w:t> (1982) identifies shifts toward embedded liberalism and regime strengthening; Keohane (1984) notes institutional adaptation to market</w:t>
            </w:r>
            <w:r w:rsidRPr="00507DCC">
              <w:rPr>
                <w:rFonts w:asciiTheme="minorHAnsi" w:hAnsiTheme="minorHAnsi" w:cstheme="minorHAnsi"/>
                <w:color w:val="1F3864" w:themeColor="accent1" w:themeShade="80"/>
                <w:sz w:val="22"/>
                <w:szCs w:val="22"/>
              </w:rPr>
              <w:noBreakHyphen/>
              <w:t>oriented governance, with rising environmental agendas.</w:t>
            </w:r>
          </w:p>
        </w:tc>
        <w:tc>
          <w:tcPr>
            <w:tcW w:w="0" w:type="auto"/>
            <w:hideMark/>
          </w:tcPr>
          <w:p w14:paraId="1523C2FD"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Market</w:t>
            </w:r>
            <w:r w:rsidRPr="00507DCC">
              <w:rPr>
                <w:rFonts w:asciiTheme="minorHAnsi" w:hAnsiTheme="minorHAnsi" w:cstheme="minorHAnsi"/>
                <w:color w:val="1F3864" w:themeColor="accent1" w:themeShade="80"/>
                <w:sz w:val="22"/>
                <w:szCs w:val="22"/>
              </w:rPr>
              <w:noBreakHyphen/>
              <w:t>oriented reforms, emergence of environmental governance regimes, strengthening of trade institutions.</w:t>
            </w:r>
          </w:p>
        </w:tc>
      </w:tr>
      <w:tr w:rsidR="00507DCC" w:rsidRPr="00507DCC" w14:paraId="64618CA2" w14:textId="77777777" w:rsidTr="00507DCC">
        <w:tc>
          <w:tcPr>
            <w:tcW w:w="0" w:type="auto"/>
            <w:hideMark/>
          </w:tcPr>
          <w:p w14:paraId="3D959D13"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1990–1999 – Post</w:t>
            </w:r>
            <w:r w:rsidRPr="00507DCC">
              <w:rPr>
                <w:rFonts w:asciiTheme="minorHAnsi" w:hAnsiTheme="minorHAnsi" w:cstheme="minorHAnsi"/>
                <w:color w:val="1F3864" w:themeColor="accent1" w:themeShade="80"/>
                <w:sz w:val="22"/>
                <w:szCs w:val="22"/>
              </w:rPr>
              <w:noBreakHyphen/>
              <w:t>Cold War &amp; Globalisation</w:t>
            </w:r>
          </w:p>
        </w:tc>
        <w:tc>
          <w:tcPr>
            <w:tcW w:w="0" w:type="auto"/>
            <w:hideMark/>
          </w:tcPr>
          <w:p w14:paraId="2FB7C9E7" w14:textId="77777777" w:rsidR="00507DCC" w:rsidRPr="00507DCC" w:rsidRDefault="00507DCC" w:rsidP="00507DCC">
            <w:pPr>
              <w:rPr>
                <w:rFonts w:asciiTheme="minorHAnsi" w:hAnsiTheme="minorHAnsi" w:cstheme="minorHAnsi"/>
                <w:color w:val="1F3864" w:themeColor="accent1" w:themeShade="80"/>
                <w:sz w:val="22"/>
                <w:szCs w:val="22"/>
              </w:rPr>
            </w:pPr>
            <w:hyperlink r:id="rId16" w:history="1">
              <w:r w:rsidRPr="00507DCC">
                <w:rPr>
                  <w:rStyle w:val="Hyperlink"/>
                  <w:rFonts w:asciiTheme="minorHAnsi" w:hAnsiTheme="minorHAnsi" w:cstheme="minorHAnsi"/>
                  <w:color w:val="023160" w:themeColor="hyperlink" w:themeShade="80"/>
                  <w:sz w:val="22"/>
                  <w:szCs w:val="22"/>
                </w:rPr>
                <w:t>Held et al. (1999)</w:t>
              </w:r>
            </w:hyperlink>
            <w:r w:rsidRPr="00507DCC">
              <w:rPr>
                <w:rFonts w:asciiTheme="minorHAnsi" w:hAnsiTheme="minorHAnsi" w:cstheme="minorHAnsi"/>
                <w:color w:val="1F3864" w:themeColor="accent1" w:themeShade="80"/>
                <w:sz w:val="22"/>
                <w:szCs w:val="22"/>
              </w:rPr>
              <w:t xml:space="preserve">; </w:t>
            </w:r>
            <w:hyperlink r:id="rId17" w:history="1">
              <w:r w:rsidRPr="00507DCC">
                <w:rPr>
                  <w:rStyle w:val="Hyperlink"/>
                  <w:rFonts w:asciiTheme="minorHAnsi" w:hAnsiTheme="minorHAnsi" w:cstheme="minorHAnsi"/>
                  <w:color w:val="023160" w:themeColor="hyperlink" w:themeShade="80"/>
                  <w:sz w:val="22"/>
                  <w:szCs w:val="22"/>
                </w:rPr>
                <w:t>Young (1999)</w:t>
              </w:r>
            </w:hyperlink>
          </w:p>
        </w:tc>
        <w:tc>
          <w:tcPr>
            <w:tcW w:w="0" w:type="auto"/>
            <w:hideMark/>
          </w:tcPr>
          <w:p w14:paraId="38C98141"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Held et al. (1999) trace institutional expansion under globalisation; Young (1999) examines regime complexity and new forms of multilevel cooperation.</w:t>
            </w:r>
          </w:p>
        </w:tc>
        <w:tc>
          <w:tcPr>
            <w:tcW w:w="0" w:type="auto"/>
            <w:hideMark/>
          </w:tcPr>
          <w:p w14:paraId="25706864"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Growth of governance institutions for trade, environment, and maritime security in a unipolar order.</w:t>
            </w:r>
          </w:p>
        </w:tc>
      </w:tr>
      <w:tr w:rsidR="00507DCC" w:rsidRPr="00507DCC" w14:paraId="3AA3CEC8" w14:textId="77777777" w:rsidTr="00507DCC">
        <w:tc>
          <w:tcPr>
            <w:tcW w:w="0" w:type="auto"/>
            <w:hideMark/>
          </w:tcPr>
          <w:p w14:paraId="0D5D078F"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2000–2009 – Early 21st</w:t>
            </w:r>
            <w:r w:rsidRPr="00507DCC">
              <w:rPr>
                <w:rFonts w:asciiTheme="minorHAnsi" w:hAnsiTheme="minorHAnsi" w:cstheme="minorHAnsi"/>
                <w:color w:val="1F3864" w:themeColor="accent1" w:themeShade="80"/>
                <w:sz w:val="22"/>
                <w:szCs w:val="22"/>
              </w:rPr>
              <w:noBreakHyphen/>
              <w:t>Century Multilateralism</w:t>
            </w:r>
          </w:p>
        </w:tc>
        <w:tc>
          <w:tcPr>
            <w:tcW w:w="0" w:type="auto"/>
            <w:hideMark/>
          </w:tcPr>
          <w:p w14:paraId="44F7B138" w14:textId="77777777" w:rsidR="00507DCC" w:rsidRPr="00507DCC" w:rsidRDefault="00507DCC" w:rsidP="00507DCC">
            <w:pPr>
              <w:rPr>
                <w:rFonts w:asciiTheme="minorHAnsi" w:hAnsiTheme="minorHAnsi" w:cstheme="minorHAnsi"/>
                <w:color w:val="1F3864" w:themeColor="accent1" w:themeShade="80"/>
                <w:sz w:val="22"/>
                <w:szCs w:val="22"/>
              </w:rPr>
            </w:pPr>
            <w:hyperlink r:id="rId18" w:history="1">
              <w:r w:rsidRPr="00507DCC">
                <w:rPr>
                  <w:rStyle w:val="Hyperlink"/>
                  <w:rFonts w:asciiTheme="minorHAnsi" w:hAnsiTheme="minorHAnsi" w:cstheme="minorHAnsi"/>
                  <w:color w:val="023160" w:themeColor="hyperlink" w:themeShade="80"/>
                  <w:sz w:val="22"/>
                  <w:szCs w:val="22"/>
                </w:rPr>
                <w:t xml:space="preserve">Biermann &amp; </w:t>
              </w:r>
              <w:proofErr w:type="spellStart"/>
              <w:r w:rsidRPr="00507DCC">
                <w:rPr>
                  <w:rStyle w:val="Hyperlink"/>
                  <w:rFonts w:asciiTheme="minorHAnsi" w:hAnsiTheme="minorHAnsi" w:cstheme="minorHAnsi"/>
                  <w:color w:val="023160" w:themeColor="hyperlink" w:themeShade="80"/>
                  <w:sz w:val="22"/>
                  <w:szCs w:val="22"/>
                </w:rPr>
                <w:t>Pattberg</w:t>
              </w:r>
              <w:proofErr w:type="spellEnd"/>
              <w:r w:rsidRPr="00507DCC">
                <w:rPr>
                  <w:rStyle w:val="Hyperlink"/>
                  <w:rFonts w:asciiTheme="minorHAnsi" w:hAnsiTheme="minorHAnsi" w:cstheme="minorHAnsi"/>
                  <w:color w:val="023160" w:themeColor="hyperlink" w:themeShade="80"/>
                  <w:sz w:val="22"/>
                  <w:szCs w:val="22"/>
                </w:rPr>
                <w:t> (2012)</w:t>
              </w:r>
            </w:hyperlink>
            <w:r w:rsidRPr="00507DCC">
              <w:rPr>
                <w:rFonts w:asciiTheme="minorHAnsi" w:hAnsiTheme="minorHAnsi" w:cstheme="minorHAnsi"/>
                <w:color w:val="1F3864" w:themeColor="accent1" w:themeShade="80"/>
                <w:sz w:val="22"/>
                <w:szCs w:val="22"/>
              </w:rPr>
              <w:t xml:space="preserve">; </w:t>
            </w:r>
            <w:hyperlink r:id="rId19" w:history="1">
              <w:r w:rsidRPr="00507DCC">
                <w:rPr>
                  <w:rStyle w:val="Hyperlink"/>
                  <w:rFonts w:asciiTheme="minorHAnsi" w:hAnsiTheme="minorHAnsi" w:cstheme="minorHAnsi"/>
                  <w:color w:val="023160" w:themeColor="hyperlink" w:themeShade="80"/>
                  <w:sz w:val="22"/>
                  <w:szCs w:val="22"/>
                </w:rPr>
                <w:t>Ostrom (2010)</w:t>
              </w:r>
            </w:hyperlink>
          </w:p>
        </w:tc>
        <w:tc>
          <w:tcPr>
            <w:tcW w:w="0" w:type="auto"/>
            <w:hideMark/>
          </w:tcPr>
          <w:p w14:paraId="6D569AFD"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 xml:space="preserve">Biermann &amp; </w:t>
            </w:r>
            <w:proofErr w:type="spellStart"/>
            <w:r w:rsidRPr="00507DCC">
              <w:rPr>
                <w:rFonts w:asciiTheme="minorHAnsi" w:hAnsiTheme="minorHAnsi" w:cstheme="minorHAnsi"/>
                <w:color w:val="1F3864" w:themeColor="accent1" w:themeShade="80"/>
                <w:sz w:val="22"/>
                <w:szCs w:val="22"/>
              </w:rPr>
              <w:t>Pattberg</w:t>
            </w:r>
            <w:proofErr w:type="spellEnd"/>
            <w:r w:rsidRPr="00507DCC">
              <w:rPr>
                <w:rFonts w:asciiTheme="minorHAnsi" w:hAnsiTheme="minorHAnsi" w:cstheme="minorHAnsi"/>
                <w:color w:val="1F3864" w:themeColor="accent1" w:themeShade="80"/>
                <w:sz w:val="22"/>
                <w:szCs w:val="22"/>
              </w:rPr>
              <w:t> (2012) identify the integration of environmental governance with other sectors; Ostrom (2010) advances polycentric governance models for global commons, including oceans.</w:t>
            </w:r>
          </w:p>
        </w:tc>
        <w:tc>
          <w:tcPr>
            <w:tcW w:w="0" w:type="auto"/>
            <w:hideMark/>
          </w:tcPr>
          <w:p w14:paraId="2E84E076"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Post</w:t>
            </w:r>
            <w:r w:rsidRPr="00507DCC">
              <w:rPr>
                <w:rFonts w:asciiTheme="minorHAnsi" w:hAnsiTheme="minorHAnsi" w:cstheme="minorHAnsi"/>
                <w:color w:val="1F3864" w:themeColor="accent1" w:themeShade="80"/>
                <w:sz w:val="22"/>
                <w:szCs w:val="22"/>
              </w:rPr>
              <w:noBreakHyphen/>
              <w:t>9/11 global security frameworks, mainstreaming of climate/ocean governance, precursors to SDGs.</w:t>
            </w:r>
          </w:p>
        </w:tc>
      </w:tr>
      <w:tr w:rsidR="00507DCC" w:rsidRPr="00507DCC" w14:paraId="4BCEF154" w14:textId="77777777" w:rsidTr="00507DCC">
        <w:tc>
          <w:tcPr>
            <w:tcW w:w="0" w:type="auto"/>
            <w:hideMark/>
          </w:tcPr>
          <w:p w14:paraId="3940A62C"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2010–2019 – SDG &amp; Climate Action Era</w:t>
            </w:r>
          </w:p>
        </w:tc>
        <w:tc>
          <w:tcPr>
            <w:tcW w:w="0" w:type="auto"/>
            <w:hideMark/>
          </w:tcPr>
          <w:p w14:paraId="0033C5D2" w14:textId="77777777" w:rsidR="00507DCC" w:rsidRPr="00507DCC" w:rsidRDefault="00507DCC" w:rsidP="00507DCC">
            <w:pPr>
              <w:rPr>
                <w:rFonts w:asciiTheme="minorHAnsi" w:hAnsiTheme="minorHAnsi" w:cstheme="minorHAnsi"/>
                <w:color w:val="1F3864" w:themeColor="accent1" w:themeShade="80"/>
                <w:sz w:val="22"/>
                <w:szCs w:val="22"/>
              </w:rPr>
            </w:pPr>
            <w:hyperlink r:id="rId20" w:history="1">
              <w:r w:rsidRPr="00507DCC">
                <w:rPr>
                  <w:rStyle w:val="Hyperlink"/>
                  <w:rFonts w:asciiTheme="minorHAnsi" w:hAnsiTheme="minorHAnsi" w:cstheme="minorHAnsi"/>
                  <w:color w:val="023160" w:themeColor="hyperlink" w:themeShade="80"/>
                  <w:sz w:val="22"/>
                  <w:szCs w:val="22"/>
                </w:rPr>
                <w:t>UN (2015)</w:t>
              </w:r>
            </w:hyperlink>
            <w:r w:rsidRPr="00507DCC">
              <w:rPr>
                <w:rFonts w:asciiTheme="minorHAnsi" w:hAnsiTheme="minorHAnsi" w:cstheme="minorHAnsi"/>
                <w:color w:val="1F3864" w:themeColor="accent1" w:themeShade="80"/>
                <w:sz w:val="22"/>
                <w:szCs w:val="22"/>
              </w:rPr>
              <w:t xml:space="preserve">; </w:t>
            </w:r>
            <w:hyperlink r:id="rId21" w:history="1">
              <w:proofErr w:type="spellStart"/>
              <w:r w:rsidRPr="00507DCC">
                <w:rPr>
                  <w:rStyle w:val="Hyperlink"/>
                  <w:rFonts w:asciiTheme="minorHAnsi" w:hAnsiTheme="minorHAnsi" w:cstheme="minorHAnsi"/>
                  <w:color w:val="023160" w:themeColor="hyperlink" w:themeShade="80"/>
                  <w:sz w:val="22"/>
                  <w:szCs w:val="22"/>
                </w:rPr>
                <w:t>Visbeck</w:t>
              </w:r>
              <w:proofErr w:type="spellEnd"/>
              <w:r w:rsidRPr="00507DCC">
                <w:rPr>
                  <w:rStyle w:val="Hyperlink"/>
                  <w:rFonts w:asciiTheme="minorHAnsi" w:hAnsiTheme="minorHAnsi" w:cstheme="minorHAnsi"/>
                  <w:color w:val="023160" w:themeColor="hyperlink" w:themeShade="80"/>
                  <w:sz w:val="22"/>
                  <w:szCs w:val="22"/>
                </w:rPr>
                <w:t xml:space="preserve"> et al. (2014)</w:t>
              </w:r>
            </w:hyperlink>
          </w:p>
        </w:tc>
        <w:tc>
          <w:tcPr>
            <w:tcW w:w="0" w:type="auto"/>
            <w:hideMark/>
          </w:tcPr>
          <w:p w14:paraId="5D38C8FA"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UN (2015) codifies SDG 14 and cross</w:t>
            </w:r>
            <w:r w:rsidRPr="00507DCC">
              <w:rPr>
                <w:rFonts w:asciiTheme="minorHAnsi" w:hAnsiTheme="minorHAnsi" w:cstheme="minorHAnsi"/>
                <w:color w:val="1F3864" w:themeColor="accent1" w:themeShade="80"/>
                <w:sz w:val="22"/>
                <w:szCs w:val="22"/>
              </w:rPr>
              <w:noBreakHyphen/>
              <w:t xml:space="preserve">cutting sustainability targets; </w:t>
            </w:r>
            <w:proofErr w:type="spellStart"/>
            <w:r w:rsidRPr="00507DCC">
              <w:rPr>
                <w:rFonts w:asciiTheme="minorHAnsi" w:hAnsiTheme="minorHAnsi" w:cstheme="minorHAnsi"/>
                <w:color w:val="1F3864" w:themeColor="accent1" w:themeShade="80"/>
                <w:sz w:val="22"/>
                <w:szCs w:val="22"/>
              </w:rPr>
              <w:t>Visbeck</w:t>
            </w:r>
            <w:proofErr w:type="spellEnd"/>
            <w:r w:rsidRPr="00507DCC">
              <w:rPr>
                <w:rFonts w:asciiTheme="minorHAnsi" w:hAnsiTheme="minorHAnsi" w:cstheme="minorHAnsi"/>
                <w:color w:val="1F3864" w:themeColor="accent1" w:themeShade="80"/>
                <w:sz w:val="22"/>
                <w:szCs w:val="22"/>
              </w:rPr>
              <w:t> et al. (2014) advocate for integrating ocean health into the global sustainable development agenda.</w:t>
            </w:r>
          </w:p>
        </w:tc>
        <w:tc>
          <w:tcPr>
            <w:tcW w:w="0" w:type="auto"/>
            <w:hideMark/>
          </w:tcPr>
          <w:p w14:paraId="668307CB"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Adoption of the SDGs and Paris Agreement; surge in blue economy initiatives and multi</w:t>
            </w:r>
            <w:r w:rsidRPr="00507DCC">
              <w:rPr>
                <w:rFonts w:asciiTheme="minorHAnsi" w:hAnsiTheme="minorHAnsi" w:cstheme="minorHAnsi"/>
                <w:color w:val="1F3864" w:themeColor="accent1" w:themeShade="80"/>
                <w:sz w:val="22"/>
                <w:szCs w:val="22"/>
              </w:rPr>
              <w:noBreakHyphen/>
              <w:t>stakeholder partnerships.</w:t>
            </w:r>
          </w:p>
        </w:tc>
      </w:tr>
      <w:tr w:rsidR="00507DCC" w:rsidRPr="00507DCC" w14:paraId="5F856DFC" w14:textId="77777777" w:rsidTr="00507DCC">
        <w:tc>
          <w:tcPr>
            <w:tcW w:w="0" w:type="auto"/>
            <w:hideMark/>
          </w:tcPr>
          <w:p w14:paraId="5D0D03A6"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lastRenderedPageBreak/>
              <w:t xml:space="preserve">2020–Present – Resilience &amp; </w:t>
            </w:r>
            <w:proofErr w:type="spellStart"/>
            <w:r w:rsidRPr="00507DCC">
              <w:rPr>
                <w:rFonts w:asciiTheme="minorHAnsi" w:hAnsiTheme="minorHAnsi" w:cstheme="minorHAnsi"/>
                <w:color w:val="1F3864" w:themeColor="accent1" w:themeShade="80"/>
                <w:sz w:val="22"/>
                <w:szCs w:val="22"/>
              </w:rPr>
              <w:t>Polycrisis</w:t>
            </w:r>
            <w:proofErr w:type="spellEnd"/>
            <w:r w:rsidRPr="00507DCC">
              <w:rPr>
                <w:rFonts w:asciiTheme="minorHAnsi" w:hAnsiTheme="minorHAnsi" w:cstheme="minorHAnsi"/>
                <w:color w:val="1F3864" w:themeColor="accent1" w:themeShade="80"/>
                <w:sz w:val="22"/>
                <w:szCs w:val="22"/>
              </w:rPr>
              <w:t xml:space="preserve"> Governance</w:t>
            </w:r>
          </w:p>
        </w:tc>
        <w:tc>
          <w:tcPr>
            <w:tcW w:w="0" w:type="auto"/>
            <w:hideMark/>
          </w:tcPr>
          <w:p w14:paraId="5751D2DE" w14:textId="77777777" w:rsidR="00507DCC" w:rsidRPr="00507DCC" w:rsidRDefault="00507DCC" w:rsidP="00507DCC">
            <w:pPr>
              <w:rPr>
                <w:rFonts w:asciiTheme="minorHAnsi" w:hAnsiTheme="minorHAnsi" w:cstheme="minorHAnsi"/>
                <w:color w:val="1F3864" w:themeColor="accent1" w:themeShade="80"/>
                <w:sz w:val="22"/>
                <w:szCs w:val="22"/>
              </w:rPr>
            </w:pPr>
            <w:hyperlink r:id="rId22" w:history="1">
              <w:proofErr w:type="spellStart"/>
              <w:r w:rsidRPr="00507DCC">
                <w:rPr>
                  <w:rStyle w:val="Hyperlink"/>
                  <w:rFonts w:asciiTheme="minorHAnsi" w:hAnsiTheme="minorHAnsi" w:cstheme="minorHAnsi"/>
                  <w:color w:val="023160" w:themeColor="hyperlink" w:themeShade="80"/>
                  <w:sz w:val="22"/>
                  <w:szCs w:val="22"/>
                </w:rPr>
                <w:t>Gjerde</w:t>
              </w:r>
              <w:proofErr w:type="spellEnd"/>
              <w:r w:rsidRPr="00507DCC">
                <w:rPr>
                  <w:rStyle w:val="Hyperlink"/>
                  <w:rFonts w:asciiTheme="minorHAnsi" w:hAnsiTheme="minorHAnsi" w:cstheme="minorHAnsi"/>
                  <w:color w:val="023160" w:themeColor="hyperlink" w:themeShade="80"/>
                  <w:sz w:val="22"/>
                  <w:szCs w:val="22"/>
                </w:rPr>
                <w:t xml:space="preserve"> et al. (2023)</w:t>
              </w:r>
            </w:hyperlink>
            <w:r w:rsidRPr="00507DCC">
              <w:rPr>
                <w:rFonts w:asciiTheme="minorHAnsi" w:hAnsiTheme="minorHAnsi" w:cstheme="minorHAnsi"/>
                <w:color w:val="1F3864" w:themeColor="accent1" w:themeShade="80"/>
                <w:sz w:val="22"/>
                <w:szCs w:val="22"/>
              </w:rPr>
              <w:t xml:space="preserve">; </w:t>
            </w:r>
            <w:hyperlink r:id="rId23" w:history="1">
              <w:r w:rsidRPr="00507DCC">
                <w:rPr>
                  <w:rStyle w:val="Hyperlink"/>
                  <w:rFonts w:asciiTheme="minorHAnsi" w:hAnsiTheme="minorHAnsi" w:cstheme="minorHAnsi"/>
                  <w:color w:val="023160" w:themeColor="hyperlink" w:themeShade="80"/>
                  <w:sz w:val="22"/>
                  <w:szCs w:val="22"/>
                </w:rPr>
                <w:t>IOC</w:t>
              </w:r>
              <w:r w:rsidRPr="00507DCC">
                <w:rPr>
                  <w:rStyle w:val="Hyperlink"/>
                  <w:rFonts w:asciiTheme="minorHAnsi" w:hAnsiTheme="minorHAnsi" w:cstheme="minorHAnsi"/>
                  <w:color w:val="023160" w:themeColor="hyperlink" w:themeShade="80"/>
                  <w:sz w:val="22"/>
                  <w:szCs w:val="22"/>
                </w:rPr>
                <w:noBreakHyphen/>
                <w:t>UNESCO (2021)</w:t>
              </w:r>
            </w:hyperlink>
          </w:p>
        </w:tc>
        <w:tc>
          <w:tcPr>
            <w:tcW w:w="0" w:type="auto"/>
            <w:hideMark/>
          </w:tcPr>
          <w:p w14:paraId="79136723" w14:textId="77777777" w:rsidR="00507DCC" w:rsidRPr="00507DCC" w:rsidRDefault="00507DCC" w:rsidP="00507DCC">
            <w:pPr>
              <w:rPr>
                <w:rFonts w:asciiTheme="minorHAnsi" w:hAnsiTheme="minorHAnsi" w:cstheme="minorHAnsi"/>
                <w:color w:val="1F3864" w:themeColor="accent1" w:themeShade="80"/>
                <w:sz w:val="22"/>
                <w:szCs w:val="22"/>
              </w:rPr>
            </w:pPr>
            <w:proofErr w:type="spellStart"/>
            <w:r w:rsidRPr="00507DCC">
              <w:rPr>
                <w:rFonts w:asciiTheme="minorHAnsi" w:hAnsiTheme="minorHAnsi" w:cstheme="minorHAnsi"/>
                <w:color w:val="1F3864" w:themeColor="accent1" w:themeShade="80"/>
                <w:sz w:val="22"/>
                <w:szCs w:val="22"/>
              </w:rPr>
              <w:t>Gjerde</w:t>
            </w:r>
            <w:proofErr w:type="spellEnd"/>
            <w:r w:rsidRPr="00507DCC">
              <w:rPr>
                <w:rFonts w:asciiTheme="minorHAnsi" w:hAnsiTheme="minorHAnsi" w:cstheme="minorHAnsi"/>
                <w:color w:val="1F3864" w:themeColor="accent1" w:themeShade="80"/>
                <w:sz w:val="22"/>
                <w:szCs w:val="22"/>
              </w:rPr>
              <w:t> et al. (2023) examine IGO responses to COVID</w:t>
            </w:r>
            <w:r w:rsidRPr="00507DCC">
              <w:rPr>
                <w:rFonts w:asciiTheme="minorHAnsi" w:hAnsiTheme="minorHAnsi" w:cstheme="minorHAnsi"/>
                <w:color w:val="1F3864" w:themeColor="accent1" w:themeShade="80"/>
                <w:sz w:val="22"/>
                <w:szCs w:val="22"/>
              </w:rPr>
              <w:noBreakHyphen/>
              <w:t>19, climate stressors, and BBNJ treaty adoption; IOC</w:t>
            </w:r>
            <w:r w:rsidRPr="00507DCC">
              <w:rPr>
                <w:rFonts w:asciiTheme="minorHAnsi" w:hAnsiTheme="minorHAnsi" w:cstheme="minorHAnsi"/>
                <w:color w:val="1F3864" w:themeColor="accent1" w:themeShade="80"/>
                <w:sz w:val="22"/>
                <w:szCs w:val="22"/>
              </w:rPr>
              <w:noBreakHyphen/>
              <w:t>UNESCO (2021) emphasises strengthening science systems and equity in governance.</w:t>
            </w:r>
          </w:p>
        </w:tc>
        <w:tc>
          <w:tcPr>
            <w:tcW w:w="0" w:type="auto"/>
            <w:hideMark/>
          </w:tcPr>
          <w:p w14:paraId="78689768"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COVID</w:t>
            </w:r>
            <w:r w:rsidRPr="00507DCC">
              <w:rPr>
                <w:rFonts w:asciiTheme="minorHAnsi" w:hAnsiTheme="minorHAnsi" w:cstheme="minorHAnsi"/>
                <w:color w:val="1F3864" w:themeColor="accent1" w:themeShade="80"/>
                <w:sz w:val="22"/>
                <w:szCs w:val="22"/>
              </w:rPr>
              <w:noBreakHyphen/>
              <w:t>19 pandemic impacts, intensifying climate emergencies, geopolitical tensions, and adoption of BBNJ (2023).</w:t>
            </w:r>
          </w:p>
        </w:tc>
      </w:tr>
    </w:tbl>
    <w:p w14:paraId="18BF5CEA" w14:textId="77777777" w:rsidR="005C63E7" w:rsidRPr="006E2E54" w:rsidRDefault="005C63E7" w:rsidP="005C63E7">
      <w:pPr>
        <w:rPr>
          <w:rFonts w:asciiTheme="minorHAnsi" w:hAnsiTheme="minorHAnsi" w:cstheme="minorHAnsi"/>
          <w:b/>
          <w:bCs/>
          <w:color w:val="1F3864" w:themeColor="accent1" w:themeShade="80"/>
          <w:sz w:val="22"/>
          <w:szCs w:val="22"/>
        </w:rPr>
      </w:pPr>
    </w:p>
    <w:p w14:paraId="35B74FB4" w14:textId="665079BB" w:rsidR="005C63E7" w:rsidRPr="005C63E7" w:rsidRDefault="005C63E7" w:rsidP="005C63E7">
      <w:pPr>
        <w:rPr>
          <w:rFonts w:asciiTheme="minorHAnsi" w:hAnsiTheme="minorHAnsi" w:cstheme="minorHAnsi"/>
          <w:color w:val="1F3864" w:themeColor="accent1" w:themeShade="80"/>
          <w:sz w:val="22"/>
          <w:szCs w:val="22"/>
        </w:rPr>
      </w:pPr>
    </w:p>
    <w:p w14:paraId="54797226" w14:textId="77777777" w:rsidR="005C63E7" w:rsidRPr="005C63E7" w:rsidRDefault="005C63E7" w:rsidP="005C63E7">
      <w:pPr>
        <w:rPr>
          <w:rFonts w:asciiTheme="minorHAnsi" w:hAnsiTheme="minorHAnsi" w:cstheme="minorHAnsi"/>
          <w:b/>
          <w:bCs/>
          <w:color w:val="1F3864" w:themeColor="accent1" w:themeShade="80"/>
          <w:sz w:val="22"/>
          <w:szCs w:val="22"/>
        </w:rPr>
      </w:pPr>
      <w:r w:rsidRPr="005C63E7">
        <w:rPr>
          <w:rFonts w:asciiTheme="minorHAnsi" w:hAnsiTheme="minorHAnsi" w:cstheme="minorHAnsi"/>
          <w:b/>
          <w:bCs/>
          <w:color w:val="1F3864" w:themeColor="accent1" w:themeShade="80"/>
          <w:sz w:val="22"/>
          <w:szCs w:val="22"/>
        </w:rPr>
        <w:t>Spatial Jurisdiction</w:t>
      </w:r>
    </w:p>
    <w:p w14:paraId="521CF9C4" w14:textId="77777777" w:rsidR="005C63E7" w:rsidRPr="005C63E7" w:rsidRDefault="005C63E7" w:rsidP="005C63E7">
      <w:p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 xml:space="preserve">The legal framework established by the United Nations Convention on the Law of the Sea (UNCLOS, 1982) provides a comprehensive jurisdictional structure for maritime space. UNCLOS delineates several territorial zones that may be wholly or partially claimed by coastal states, </w:t>
      </w:r>
      <w:proofErr w:type="gramStart"/>
      <w:r w:rsidRPr="005C63E7">
        <w:rPr>
          <w:rFonts w:asciiTheme="minorHAnsi" w:hAnsiTheme="minorHAnsi" w:cstheme="minorHAnsi"/>
          <w:color w:val="1F3864" w:themeColor="accent1" w:themeShade="80"/>
          <w:sz w:val="22"/>
          <w:szCs w:val="22"/>
        </w:rPr>
        <w:t>including:</w:t>
      </w:r>
      <w:proofErr w:type="gramEnd"/>
      <w:r w:rsidRPr="005C63E7">
        <w:rPr>
          <w:rFonts w:asciiTheme="minorHAnsi" w:hAnsiTheme="minorHAnsi" w:cstheme="minorHAnsi"/>
          <w:color w:val="1F3864" w:themeColor="accent1" w:themeShade="80"/>
          <w:sz w:val="22"/>
          <w:szCs w:val="22"/>
        </w:rPr>
        <w:t xml:space="preserve"> internal waters (IW), territorial sea (TS), contiguous zone (CZ), continental shelf (CS), and exclusive economic zone (EEZ). Beyond these, the Convention also recognizes areas beyond national jurisdiction, namely the high seas and the deep seabed, referred to as “the Area,” which are governed under the principle of common heritage of humankind.</w:t>
      </w:r>
    </w:p>
    <w:p w14:paraId="3CA6A580" w14:textId="77777777" w:rsidR="005C63E7" w:rsidRPr="005C63E7" w:rsidRDefault="005C63E7" w:rsidP="005C63E7">
      <w:p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In addition to these core zones, UNCLOS defines specific spatial constructs such as:</w:t>
      </w:r>
    </w:p>
    <w:p w14:paraId="6027FC69" w14:textId="77777777" w:rsidR="005C63E7" w:rsidRPr="005C63E7" w:rsidRDefault="005C63E7" w:rsidP="005C63E7">
      <w:pPr>
        <w:numPr>
          <w:ilvl w:val="0"/>
          <w:numId w:val="8"/>
        </w:numPr>
        <w:rPr>
          <w:rFonts w:asciiTheme="minorHAnsi" w:hAnsiTheme="minorHAnsi" w:cstheme="minorHAnsi"/>
          <w:color w:val="1F3864" w:themeColor="accent1" w:themeShade="80"/>
          <w:sz w:val="22"/>
          <w:szCs w:val="22"/>
        </w:rPr>
      </w:pPr>
      <w:r w:rsidRPr="005C63E7">
        <w:rPr>
          <w:rFonts w:asciiTheme="minorHAnsi" w:hAnsiTheme="minorHAnsi" w:cstheme="minorHAnsi"/>
          <w:b/>
          <w:bCs/>
          <w:color w:val="1F3864" w:themeColor="accent1" w:themeShade="80"/>
          <w:sz w:val="22"/>
          <w:szCs w:val="22"/>
        </w:rPr>
        <w:t>Archipelagos</w:t>
      </w:r>
      <w:r w:rsidRPr="005C63E7">
        <w:rPr>
          <w:rFonts w:asciiTheme="minorHAnsi" w:hAnsiTheme="minorHAnsi" w:cstheme="minorHAnsi"/>
          <w:color w:val="1F3864" w:themeColor="accent1" w:themeShade="80"/>
          <w:sz w:val="22"/>
          <w:szCs w:val="22"/>
        </w:rPr>
        <w:t>: A group of islands, interconnecting waters, and other natural features that form an intrinsic geographical, economic, and political entity, or are historically regarded as such (UNCLOS, Art. 46).</w:t>
      </w:r>
    </w:p>
    <w:p w14:paraId="790B2AF9" w14:textId="77777777" w:rsidR="005C63E7" w:rsidRPr="005C63E7" w:rsidRDefault="005C63E7" w:rsidP="005C63E7">
      <w:pPr>
        <w:numPr>
          <w:ilvl w:val="0"/>
          <w:numId w:val="8"/>
        </w:numPr>
        <w:rPr>
          <w:rFonts w:asciiTheme="minorHAnsi" w:hAnsiTheme="minorHAnsi" w:cstheme="minorHAnsi"/>
          <w:color w:val="1F3864" w:themeColor="accent1" w:themeShade="80"/>
          <w:sz w:val="22"/>
          <w:szCs w:val="22"/>
        </w:rPr>
      </w:pPr>
      <w:r w:rsidRPr="005C63E7">
        <w:rPr>
          <w:rFonts w:asciiTheme="minorHAnsi" w:hAnsiTheme="minorHAnsi" w:cstheme="minorHAnsi"/>
          <w:b/>
          <w:bCs/>
          <w:color w:val="1F3864" w:themeColor="accent1" w:themeShade="80"/>
          <w:sz w:val="22"/>
          <w:szCs w:val="22"/>
        </w:rPr>
        <w:t>Enclosed or Semi-Enclosed Seas</w:t>
      </w:r>
      <w:r w:rsidRPr="005C63E7">
        <w:rPr>
          <w:rFonts w:asciiTheme="minorHAnsi" w:hAnsiTheme="minorHAnsi" w:cstheme="minorHAnsi"/>
          <w:color w:val="1F3864" w:themeColor="accent1" w:themeShade="80"/>
          <w:sz w:val="22"/>
          <w:szCs w:val="22"/>
        </w:rPr>
        <w:t>: A gulf, basin, or sea surrounded by two or more states and connected to another sea or the ocean by a narrow outlet, or consisting primarily of the territorial seas and EEZs of two or more coastal states (UNCLOS, Art. 122).</w:t>
      </w:r>
    </w:p>
    <w:p w14:paraId="3C7C82B3" w14:textId="77777777" w:rsidR="005C63E7" w:rsidRPr="005C63E7" w:rsidRDefault="005C63E7" w:rsidP="005C63E7">
      <w:p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 xml:space="preserve">Although the </w:t>
      </w:r>
      <w:r w:rsidRPr="005C63E7">
        <w:rPr>
          <w:rFonts w:asciiTheme="minorHAnsi" w:hAnsiTheme="minorHAnsi" w:cstheme="minorHAnsi"/>
          <w:b/>
          <w:bCs/>
          <w:color w:val="1F3864" w:themeColor="accent1" w:themeShade="80"/>
          <w:sz w:val="22"/>
          <w:szCs w:val="22"/>
        </w:rPr>
        <w:t>Coastal Zone</w:t>
      </w:r>
      <w:r w:rsidRPr="005C63E7">
        <w:rPr>
          <w:rFonts w:asciiTheme="minorHAnsi" w:hAnsiTheme="minorHAnsi" w:cstheme="minorHAnsi"/>
          <w:color w:val="1F3864" w:themeColor="accent1" w:themeShade="80"/>
          <w:sz w:val="22"/>
          <w:szCs w:val="22"/>
        </w:rPr>
        <w:t xml:space="preserve"> is not formally codified under UNCLOS, its inclusion as a distinct jurisdictional category is justified by its ecological sensitivity, socioeconomic significance, and governance complexity. Coastal zones encompass critical ecosystems—such as mangroves, estuaries, and coral reefs—that are highly vulnerable to anthropogenic pressures and climate change, making them focal areas for conservation and spatial planning (Hu et al., 2019). They also support nearly 44% of the global population living within 150 km of the coast and serve as hubs for fisheries, tourism, and infrastructure development (Liu &amp; Zhang, 2023). Jurisdictionally, coastal zones often fall into ambiguous governance spaces, characterized by overlapping mandates and fragmented authority across local, national, and regional levels (</w:t>
      </w:r>
      <w:proofErr w:type="spellStart"/>
      <w:r w:rsidRPr="005C63E7">
        <w:rPr>
          <w:rFonts w:asciiTheme="minorHAnsi" w:hAnsiTheme="minorHAnsi" w:cstheme="minorHAnsi"/>
          <w:color w:val="1F3864" w:themeColor="accent1" w:themeShade="80"/>
          <w:sz w:val="22"/>
          <w:szCs w:val="22"/>
        </w:rPr>
        <w:t>Mbiah</w:t>
      </w:r>
      <w:proofErr w:type="spellEnd"/>
      <w:r w:rsidRPr="005C63E7">
        <w:rPr>
          <w:rFonts w:asciiTheme="minorHAnsi" w:hAnsiTheme="minorHAnsi" w:cstheme="minorHAnsi"/>
          <w:color w:val="1F3864" w:themeColor="accent1" w:themeShade="80"/>
          <w:sz w:val="22"/>
          <w:szCs w:val="22"/>
        </w:rPr>
        <w:t>, 2020). This complexity has led to the emergence of Integrated Coastal Zone Management (ICZM) frameworks, which aim to harmonize competing interests and promote sustainable use.</w:t>
      </w:r>
    </w:p>
    <w:p w14:paraId="0FAEEA9E" w14:textId="77777777" w:rsidR="005C63E7" w:rsidRPr="005C63E7" w:rsidRDefault="005C63E7" w:rsidP="005C63E7">
      <w:p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Recognizing the Coastal Zone as a spatial jurisdictional category reflects the lived realities of ocean governance and ensures that transitional spaces—where land and sea interact—are not excluded from legal, ecological, and institutional analysis.</w:t>
      </w:r>
    </w:p>
    <w:p w14:paraId="446B5DDB" w14:textId="77777777" w:rsidR="005C63E7" w:rsidRPr="005C63E7" w:rsidRDefault="005C63E7" w:rsidP="005C63E7">
      <w:pPr>
        <w:rPr>
          <w:rFonts w:asciiTheme="minorHAnsi" w:hAnsiTheme="minorHAnsi" w:cstheme="minorHAnsi"/>
          <w:b/>
          <w:bCs/>
          <w:color w:val="1F3864" w:themeColor="accent1" w:themeShade="80"/>
          <w:sz w:val="22"/>
          <w:szCs w:val="22"/>
        </w:rPr>
      </w:pPr>
      <w:r w:rsidRPr="005C63E7">
        <w:rPr>
          <w:rFonts w:asciiTheme="minorHAnsi" w:hAnsiTheme="minorHAnsi" w:cstheme="minorHAnsi"/>
          <w:b/>
          <w:bCs/>
          <w:color w:val="1F3864" w:themeColor="accent1" w:themeShade="80"/>
          <w:sz w:val="22"/>
          <w:szCs w:val="22"/>
        </w:rPr>
        <w:t>Categories of Spatial Jurisdiction Used in This Study:</w:t>
      </w:r>
    </w:p>
    <w:p w14:paraId="65FC65B6"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Internal Waters (IW)</w:t>
      </w:r>
    </w:p>
    <w:p w14:paraId="1ED6D814"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Coastal Zone</w:t>
      </w:r>
    </w:p>
    <w:p w14:paraId="332C2C64"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Territorial Sea (TS)</w:t>
      </w:r>
    </w:p>
    <w:p w14:paraId="40AFC9DA"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Contiguous Zone (CZ)</w:t>
      </w:r>
    </w:p>
    <w:p w14:paraId="32DF7BA6"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Exclusive Economic Zone (EEZ)</w:t>
      </w:r>
    </w:p>
    <w:p w14:paraId="429765C6"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Extended Continental Shelf (CS)</w:t>
      </w:r>
    </w:p>
    <w:p w14:paraId="452827EF"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The Area</w:t>
      </w:r>
    </w:p>
    <w:p w14:paraId="3090CED9"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High Seas</w:t>
      </w:r>
    </w:p>
    <w:p w14:paraId="3E5C1833"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Archipelago</w:t>
      </w:r>
    </w:p>
    <w:p w14:paraId="6E192D4C"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Enclosed or Semi-Enclosed Sea</w:t>
      </w:r>
    </w:p>
    <w:p w14:paraId="2DAA7C45" w14:textId="77777777" w:rsidR="005C63E7" w:rsidRPr="006E2E54" w:rsidRDefault="005C63E7" w:rsidP="005C63E7">
      <w:pPr>
        <w:rPr>
          <w:rFonts w:asciiTheme="minorHAnsi" w:hAnsiTheme="minorHAnsi" w:cstheme="minorHAnsi"/>
          <w:color w:val="1F3864" w:themeColor="accent1" w:themeShade="80"/>
          <w:sz w:val="22"/>
          <w:szCs w:val="22"/>
        </w:rPr>
      </w:pPr>
    </w:p>
    <w:p w14:paraId="2A94CF0C" w14:textId="77777777" w:rsidR="005C63E7" w:rsidRPr="006E2E54" w:rsidRDefault="005C63E7" w:rsidP="005C63E7">
      <w:pPr>
        <w:rPr>
          <w:rFonts w:asciiTheme="minorHAnsi" w:hAnsiTheme="minorHAnsi" w:cstheme="minorHAnsi"/>
          <w:color w:val="1F3864" w:themeColor="accent1" w:themeShade="80"/>
          <w:sz w:val="22"/>
          <w:szCs w:val="22"/>
        </w:rPr>
      </w:pPr>
    </w:p>
    <w:p w14:paraId="29D7B635"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Subject matter jurisdiction:</w:t>
      </w:r>
    </w:p>
    <w:p w14:paraId="2DC3F46C" w14:textId="175974BC" w:rsidR="003316CC" w:rsidRPr="003316CC" w:rsidRDefault="003316CC" w:rsidP="003316CC">
      <w:pPr>
        <w:rPr>
          <w:rFonts w:asciiTheme="minorHAnsi" w:hAnsiTheme="minorHAnsi" w:cstheme="minorHAnsi"/>
          <w:color w:val="1F3864" w:themeColor="accent1" w:themeShade="80"/>
          <w:sz w:val="22"/>
          <w:szCs w:val="22"/>
        </w:rPr>
      </w:pPr>
    </w:p>
    <w:p w14:paraId="3433650A" w14:textId="6EC0EC76" w:rsidR="00375DAC" w:rsidRPr="00375DAC" w:rsidRDefault="00375DAC" w:rsidP="00375DAC">
      <w:pPr>
        <w:jc w:val="both"/>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 xml:space="preserve">The categorisation of </w:t>
      </w:r>
      <w:r w:rsidRPr="00375DAC">
        <w:rPr>
          <w:rFonts w:asciiTheme="minorHAnsi" w:hAnsiTheme="minorHAnsi" w:cstheme="minorHAnsi"/>
          <w:i/>
          <w:iCs/>
          <w:color w:val="1F3864" w:themeColor="accent1" w:themeShade="80"/>
          <w:sz w:val="22"/>
          <w:szCs w:val="22"/>
        </w:rPr>
        <w:t>Subject Matter Jurisdiction</w:t>
      </w:r>
      <w:r w:rsidRPr="00375DAC">
        <w:rPr>
          <w:rFonts w:asciiTheme="minorHAnsi" w:hAnsiTheme="minorHAnsi" w:cstheme="minorHAnsi"/>
          <w:color w:val="1F3864" w:themeColor="accent1" w:themeShade="80"/>
          <w:sz w:val="22"/>
          <w:szCs w:val="22"/>
        </w:rPr>
        <w:t xml:space="preserve"> in this study was developed through an extensive review of </w:t>
      </w:r>
      <w:r w:rsidRPr="00375DAC">
        <w:rPr>
          <w:rFonts w:asciiTheme="minorHAnsi" w:hAnsiTheme="minorHAnsi" w:cstheme="minorHAnsi"/>
          <w:i/>
          <w:iCs/>
          <w:color w:val="1F3864" w:themeColor="accent1" w:themeShade="80"/>
          <w:sz w:val="22"/>
          <w:szCs w:val="22"/>
        </w:rPr>
        <w:t>scholarly literature, institutional mandates, and global policy frameworks</w:t>
      </w:r>
      <w:r w:rsidRPr="00375DAC">
        <w:rPr>
          <w:rFonts w:asciiTheme="minorHAnsi" w:hAnsiTheme="minorHAnsi" w:cstheme="minorHAnsi"/>
          <w:color w:val="1F3864" w:themeColor="accent1" w:themeShade="80"/>
          <w:sz w:val="22"/>
          <w:szCs w:val="22"/>
        </w:rPr>
        <w:t xml:space="preserve"> reflecting the evolving scope of intergovernmental organisations (IGOs) in ocean economy governance. Rather than adopting a single predefined schema, the ten analytically distinct mandate areas emerged inductively from diverse sources — including regional governance strategies, thematic reports, treaty bodies, and peer</w:t>
      </w:r>
      <w:r>
        <w:rPr>
          <w:rFonts w:asciiTheme="minorHAnsi" w:hAnsiTheme="minorHAnsi" w:cstheme="minorHAnsi"/>
          <w:color w:val="1F3864" w:themeColor="accent1" w:themeShade="80"/>
          <w:sz w:val="22"/>
          <w:szCs w:val="22"/>
        </w:rPr>
        <w:t>-</w:t>
      </w:r>
      <w:r w:rsidRPr="00375DAC">
        <w:rPr>
          <w:rFonts w:asciiTheme="minorHAnsi" w:hAnsiTheme="minorHAnsi" w:cstheme="minorHAnsi"/>
          <w:color w:val="1F3864" w:themeColor="accent1" w:themeShade="80"/>
          <w:sz w:val="22"/>
          <w:szCs w:val="22"/>
        </w:rPr>
        <w:t>reviewed research (</w:t>
      </w:r>
      <w:proofErr w:type="spellStart"/>
      <w:r w:rsidRPr="00375DAC">
        <w:rPr>
          <w:rFonts w:asciiTheme="minorHAnsi" w:hAnsiTheme="minorHAnsi" w:cstheme="minorHAnsi"/>
          <w:color w:val="1F3864" w:themeColor="accent1" w:themeShade="80"/>
          <w:sz w:val="22"/>
          <w:szCs w:val="22"/>
        </w:rPr>
        <w:t>Partelow</w:t>
      </w:r>
      <w:proofErr w:type="spellEnd"/>
      <w:r w:rsidRPr="00375DAC">
        <w:rPr>
          <w:rFonts w:asciiTheme="minorHAnsi" w:hAnsiTheme="minorHAnsi" w:cstheme="minorHAnsi"/>
          <w:color w:val="1F3864" w:themeColor="accent1" w:themeShade="80"/>
          <w:sz w:val="22"/>
          <w:szCs w:val="22"/>
        </w:rPr>
        <w:t xml:space="preserve"> et al., 2023; Nairobi Convention, 2024; World Bank, 2024) — and were subsequently validated against representative official documents.</w:t>
      </w:r>
    </w:p>
    <w:p w14:paraId="32B81257" w14:textId="77777777" w:rsidR="00375DAC" w:rsidRPr="00375DAC" w:rsidRDefault="00375DAC" w:rsidP="00375DAC">
      <w:pPr>
        <w:jc w:val="both"/>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 xml:space="preserve">Core academic contributions, such as Harris (2019) on embedding ocean systems into climate governance, Bennett (2022) on “blue justice” for marginalised communities, </w:t>
      </w:r>
      <w:proofErr w:type="spellStart"/>
      <w:r w:rsidRPr="00375DAC">
        <w:rPr>
          <w:rFonts w:asciiTheme="minorHAnsi" w:hAnsiTheme="minorHAnsi" w:cstheme="minorHAnsi"/>
          <w:color w:val="1F3864" w:themeColor="accent1" w:themeShade="80"/>
          <w:sz w:val="22"/>
          <w:szCs w:val="22"/>
        </w:rPr>
        <w:t>Gjerde</w:t>
      </w:r>
      <w:proofErr w:type="spellEnd"/>
      <w:r w:rsidRPr="00375DAC">
        <w:rPr>
          <w:rFonts w:asciiTheme="minorHAnsi" w:hAnsiTheme="minorHAnsi" w:cstheme="minorHAnsi"/>
          <w:color w:val="1F3864" w:themeColor="accent1" w:themeShade="80"/>
          <w:sz w:val="22"/>
          <w:szCs w:val="22"/>
        </w:rPr>
        <w:t xml:space="preserve"> &amp; Wright (2019) on biodiversity conservation in BBNJ negotiations, and Chen &amp; Liu (2023) on harmonising fragmented regimes, anchor the conceptual boundaries of each category. Complementary policy frameworks from bodies such as UNEP (2023), DOALOS (2022), and IOC</w:t>
      </w:r>
      <w:r w:rsidRPr="00375DAC">
        <w:rPr>
          <w:rFonts w:asciiTheme="minorHAnsi" w:hAnsiTheme="minorHAnsi" w:cstheme="minorHAnsi"/>
          <w:color w:val="1F3864" w:themeColor="accent1" w:themeShade="80"/>
          <w:sz w:val="22"/>
          <w:szCs w:val="22"/>
        </w:rPr>
        <w:noBreakHyphen/>
        <w:t>UNESCO ensure empirical accuracy and alignment with current institutional practice.</w:t>
      </w:r>
    </w:p>
    <w:p w14:paraId="4018C26D" w14:textId="2AEA0788" w:rsidR="00375DAC" w:rsidRPr="003316CC" w:rsidRDefault="00375DAC" w:rsidP="00642018">
      <w:pPr>
        <w:jc w:val="both"/>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 xml:space="preserve">This multidimensional approach reflects a growing consensus that effective ocean governance requires </w:t>
      </w:r>
      <w:r w:rsidRPr="00375DAC">
        <w:rPr>
          <w:rFonts w:asciiTheme="minorHAnsi" w:hAnsiTheme="minorHAnsi" w:cstheme="minorHAnsi"/>
          <w:i/>
          <w:iCs/>
          <w:color w:val="1F3864" w:themeColor="accent1" w:themeShade="80"/>
          <w:sz w:val="22"/>
          <w:szCs w:val="22"/>
        </w:rPr>
        <w:t>integrated, cross</w:t>
      </w:r>
      <w:r>
        <w:rPr>
          <w:rFonts w:asciiTheme="minorHAnsi" w:hAnsiTheme="minorHAnsi" w:cstheme="minorHAnsi"/>
          <w:i/>
          <w:iCs/>
          <w:color w:val="1F3864" w:themeColor="accent1" w:themeShade="80"/>
          <w:sz w:val="22"/>
          <w:szCs w:val="22"/>
        </w:rPr>
        <w:t>-</w:t>
      </w:r>
      <w:r w:rsidRPr="00375DAC">
        <w:rPr>
          <w:rFonts w:asciiTheme="minorHAnsi" w:hAnsiTheme="minorHAnsi" w:cstheme="minorHAnsi"/>
          <w:i/>
          <w:iCs/>
          <w:color w:val="1F3864" w:themeColor="accent1" w:themeShade="80"/>
          <w:sz w:val="22"/>
          <w:szCs w:val="22"/>
        </w:rPr>
        <w:t>sectoral coordination</w:t>
      </w:r>
      <w:r w:rsidRPr="00375DAC">
        <w:rPr>
          <w:rFonts w:asciiTheme="minorHAnsi" w:hAnsiTheme="minorHAnsi" w:cstheme="minorHAnsi"/>
          <w:color w:val="1F3864" w:themeColor="accent1" w:themeShade="80"/>
          <w:sz w:val="22"/>
          <w:szCs w:val="22"/>
        </w:rPr>
        <w:t xml:space="preserve"> across environmental, economic, social, and legal domains (UNEP, 2023; Singh &amp; Araujo, 2023). Scholars have emphasised that IGOs increasingly operate across overlapping mandates, and thematic clarity is essential for understanding their roles, avoiding fragmentation, and promoting coherent governance (</w:t>
      </w:r>
      <w:proofErr w:type="spellStart"/>
      <w:r w:rsidRPr="00375DAC">
        <w:rPr>
          <w:rFonts w:asciiTheme="minorHAnsi" w:hAnsiTheme="minorHAnsi" w:cstheme="minorHAnsi"/>
          <w:color w:val="1F3864" w:themeColor="accent1" w:themeShade="80"/>
          <w:sz w:val="22"/>
          <w:szCs w:val="22"/>
        </w:rPr>
        <w:t>Gjerde</w:t>
      </w:r>
      <w:proofErr w:type="spellEnd"/>
      <w:r w:rsidRPr="00375DAC">
        <w:rPr>
          <w:rFonts w:asciiTheme="minorHAnsi" w:hAnsiTheme="minorHAnsi" w:cstheme="minorHAnsi"/>
          <w:color w:val="1F3864" w:themeColor="accent1" w:themeShade="80"/>
          <w:sz w:val="22"/>
          <w:szCs w:val="22"/>
        </w:rPr>
        <w:t xml:space="preserve"> &amp; Wright, 2019; Bennett, 2022). By identifying ten distinct domains</w:t>
      </w:r>
      <w:r>
        <w:rPr>
          <w:rFonts w:asciiTheme="minorHAnsi" w:hAnsiTheme="minorHAnsi" w:cstheme="minorHAnsi"/>
          <w:color w:val="1F3864" w:themeColor="accent1" w:themeShade="80"/>
          <w:sz w:val="22"/>
          <w:szCs w:val="22"/>
        </w:rPr>
        <w:t xml:space="preserve">, </w:t>
      </w:r>
      <w:r w:rsidRPr="00375DAC">
        <w:rPr>
          <w:rFonts w:asciiTheme="minorHAnsi" w:hAnsiTheme="minorHAnsi" w:cstheme="minorHAnsi"/>
          <w:color w:val="1F3864" w:themeColor="accent1" w:themeShade="80"/>
          <w:sz w:val="22"/>
          <w:szCs w:val="22"/>
        </w:rPr>
        <w:t>ranging from climate resilience and biodiversity conservation to trade, human rights, and cultural heritage</w:t>
      </w:r>
      <w:r>
        <w:rPr>
          <w:rFonts w:asciiTheme="minorHAnsi" w:hAnsiTheme="minorHAnsi" w:cstheme="minorHAnsi"/>
          <w:color w:val="1F3864" w:themeColor="accent1" w:themeShade="80"/>
          <w:sz w:val="22"/>
          <w:szCs w:val="22"/>
        </w:rPr>
        <w:t>,</w:t>
      </w:r>
      <w:r w:rsidRPr="00375DAC">
        <w:rPr>
          <w:rFonts w:asciiTheme="minorHAnsi" w:hAnsiTheme="minorHAnsi" w:cstheme="minorHAnsi"/>
          <w:color w:val="1F3864" w:themeColor="accent1" w:themeShade="80"/>
          <w:sz w:val="22"/>
          <w:szCs w:val="22"/>
        </w:rPr>
        <w:t xml:space="preserve"> the framework captures the thematic breadth of IGO engagement. It provides a structured lens for analysing jurisdictional authority, detecting overlaps and silos, and testing hypotheses on how mandate scope shapes performance, legitimacy, and adaptability in polycentric governance systems (cf. Elston et al., 2024; </w:t>
      </w:r>
      <w:proofErr w:type="spellStart"/>
      <w:r w:rsidRPr="00375DAC">
        <w:rPr>
          <w:rFonts w:asciiTheme="minorHAnsi" w:hAnsiTheme="minorHAnsi" w:cstheme="minorHAnsi"/>
          <w:color w:val="1F3864" w:themeColor="accent1" w:themeShade="80"/>
          <w:sz w:val="22"/>
          <w:szCs w:val="22"/>
        </w:rPr>
        <w:t>Dellmuth</w:t>
      </w:r>
      <w:proofErr w:type="spellEnd"/>
      <w:r w:rsidRPr="00375DAC">
        <w:rPr>
          <w:rFonts w:asciiTheme="minorHAnsi" w:hAnsiTheme="minorHAnsi" w:cstheme="minorHAnsi"/>
          <w:color w:val="1F3864" w:themeColor="accent1" w:themeShade="80"/>
          <w:sz w:val="22"/>
          <w:szCs w:val="22"/>
        </w:rPr>
        <w:t xml:space="preserve"> et al., 2018).</w:t>
      </w:r>
    </w:p>
    <w:p w14:paraId="12E12E5C" w14:textId="722256F0" w:rsidR="00BE3D82" w:rsidRPr="00BE3D82" w:rsidRDefault="00BE3D82" w:rsidP="00BE3D82">
      <w:pPr>
        <w:rPr>
          <w:rFonts w:asciiTheme="minorHAnsi" w:hAnsiTheme="minorHAnsi" w:cstheme="minorHAnsi"/>
          <w:color w:val="1F3864" w:themeColor="accent1" w:themeShade="80"/>
          <w:sz w:val="22"/>
          <w:szCs w:val="22"/>
        </w:rPr>
      </w:pPr>
    </w:p>
    <w:p w14:paraId="63BC3BBD" w14:textId="77777777" w:rsidR="00BE3D82" w:rsidRPr="00BE3D82" w:rsidRDefault="00BE3D82" w:rsidP="00BE3D82">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Subject Matter Jurisdiction — IGOs in Global Ocean Economy Governance</w:t>
      </w:r>
    </w:p>
    <w:tbl>
      <w:tblPr>
        <w:tblStyle w:val="TableGrid"/>
        <w:tblW w:w="9030" w:type="dxa"/>
        <w:tblLook w:val="04A0" w:firstRow="1" w:lastRow="0" w:firstColumn="1" w:lastColumn="0" w:noHBand="0" w:noVBand="1"/>
      </w:tblPr>
      <w:tblGrid>
        <w:gridCol w:w="1573"/>
        <w:gridCol w:w="1888"/>
        <w:gridCol w:w="2436"/>
        <w:gridCol w:w="1482"/>
        <w:gridCol w:w="1651"/>
      </w:tblGrid>
      <w:tr w:rsidR="00375DAC" w:rsidRPr="00BE3D82" w14:paraId="456ED2E5" w14:textId="77777777" w:rsidTr="00375DAC">
        <w:tc>
          <w:tcPr>
            <w:tcW w:w="0" w:type="auto"/>
            <w:hideMark/>
          </w:tcPr>
          <w:p w14:paraId="474CA3F7" w14:textId="77777777" w:rsidR="00375DAC" w:rsidRPr="00BE3D82" w:rsidRDefault="00375DAC" w:rsidP="00375DAC">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Jurisdiction Category</w:t>
            </w:r>
          </w:p>
        </w:tc>
        <w:tc>
          <w:tcPr>
            <w:tcW w:w="0" w:type="auto"/>
            <w:hideMark/>
          </w:tcPr>
          <w:p w14:paraId="623B208E" w14:textId="77777777" w:rsidR="00375DAC" w:rsidRPr="00BE3D82" w:rsidRDefault="00375DAC" w:rsidP="00375DAC">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Key Sources</w:t>
            </w:r>
          </w:p>
        </w:tc>
        <w:tc>
          <w:tcPr>
            <w:tcW w:w="0" w:type="auto"/>
            <w:hideMark/>
          </w:tcPr>
          <w:p w14:paraId="115CE206" w14:textId="77777777" w:rsidR="00375DAC" w:rsidRPr="00BE3D82" w:rsidRDefault="00375DAC" w:rsidP="00375DAC">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What the Sources Say (Justification)</w:t>
            </w:r>
          </w:p>
        </w:tc>
        <w:tc>
          <w:tcPr>
            <w:tcW w:w="0" w:type="auto"/>
          </w:tcPr>
          <w:p w14:paraId="5CA80DE3" w14:textId="37D2ECFE" w:rsidR="00375DAC" w:rsidRPr="00BE3D82" w:rsidRDefault="00375DAC" w:rsidP="00375DAC">
            <w:pPr>
              <w:rPr>
                <w:rFonts w:asciiTheme="minorHAnsi" w:hAnsiTheme="minorHAnsi" w:cstheme="minorHAnsi"/>
                <w:b/>
                <w:bCs/>
                <w:color w:val="1F3864" w:themeColor="accent1" w:themeShade="80"/>
                <w:sz w:val="22"/>
                <w:szCs w:val="22"/>
              </w:rPr>
            </w:pPr>
            <w:r w:rsidRPr="001B7A54">
              <w:rPr>
                <w:rFonts w:asciiTheme="minorHAnsi" w:hAnsiTheme="minorHAnsi" w:cstheme="minorHAnsi"/>
                <w:b/>
                <w:bCs/>
                <w:color w:val="1F3864" w:themeColor="accent1" w:themeShade="80"/>
                <w:sz w:val="22"/>
                <w:szCs w:val="22"/>
              </w:rPr>
              <w:t>Justification</w:t>
            </w:r>
          </w:p>
        </w:tc>
        <w:tc>
          <w:tcPr>
            <w:tcW w:w="0" w:type="auto"/>
            <w:hideMark/>
          </w:tcPr>
          <w:p w14:paraId="3357AC04" w14:textId="211AEC8A" w:rsidR="00375DAC" w:rsidRPr="00BE3D82" w:rsidRDefault="00375DAC" w:rsidP="00375DAC">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Historical / Political Context</w:t>
            </w:r>
          </w:p>
        </w:tc>
      </w:tr>
      <w:tr w:rsidR="00375DAC" w:rsidRPr="00BE3D82" w14:paraId="1D6263C5" w14:textId="77777777" w:rsidTr="00375DAC">
        <w:tc>
          <w:tcPr>
            <w:tcW w:w="0" w:type="auto"/>
            <w:hideMark/>
          </w:tcPr>
          <w:p w14:paraId="479D72EF"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Environmental Protection &amp; Climate Change</w:t>
            </w:r>
          </w:p>
        </w:tc>
        <w:tc>
          <w:tcPr>
            <w:tcW w:w="0" w:type="auto"/>
            <w:hideMark/>
          </w:tcPr>
          <w:p w14:paraId="7E4F0932" w14:textId="77777777" w:rsidR="00375DAC" w:rsidRPr="00BE3D82" w:rsidRDefault="00375DAC" w:rsidP="00375DAC">
            <w:pPr>
              <w:rPr>
                <w:rFonts w:asciiTheme="minorHAnsi" w:hAnsiTheme="minorHAnsi" w:cstheme="minorHAnsi"/>
                <w:color w:val="1F3864" w:themeColor="accent1" w:themeShade="80"/>
                <w:sz w:val="22"/>
                <w:szCs w:val="22"/>
              </w:rPr>
            </w:pPr>
            <w:hyperlink r:id="rId24" w:history="1">
              <w:r w:rsidRPr="00BE3D82">
                <w:rPr>
                  <w:rStyle w:val="Hyperlink"/>
                  <w:rFonts w:asciiTheme="minorHAnsi" w:hAnsiTheme="minorHAnsi" w:cstheme="minorHAnsi"/>
                  <w:color w:val="023160" w:themeColor="hyperlink" w:themeShade="80"/>
                  <w:sz w:val="22"/>
                  <w:szCs w:val="22"/>
                </w:rPr>
                <w:t>Harris (2019)</w:t>
              </w:r>
            </w:hyperlink>
            <w:r w:rsidRPr="00BE3D82">
              <w:rPr>
                <w:rFonts w:asciiTheme="minorHAnsi" w:hAnsiTheme="minorHAnsi" w:cstheme="minorHAnsi"/>
                <w:color w:val="1F3864" w:themeColor="accent1" w:themeShade="80"/>
                <w:sz w:val="22"/>
                <w:szCs w:val="22"/>
              </w:rPr>
              <w:t xml:space="preserve">; </w:t>
            </w:r>
            <w:hyperlink r:id="rId25" w:history="1">
              <w:proofErr w:type="spellStart"/>
              <w:r w:rsidRPr="00BE3D82">
                <w:rPr>
                  <w:rStyle w:val="Hyperlink"/>
                  <w:rFonts w:asciiTheme="minorHAnsi" w:hAnsiTheme="minorHAnsi" w:cstheme="minorHAnsi"/>
                  <w:color w:val="023160" w:themeColor="hyperlink" w:themeShade="80"/>
                  <w:sz w:val="22"/>
                  <w:szCs w:val="22"/>
                </w:rPr>
                <w:t>Dellmuth</w:t>
              </w:r>
              <w:proofErr w:type="spellEnd"/>
              <w:r w:rsidRPr="00BE3D82">
                <w:rPr>
                  <w:rStyle w:val="Hyperlink"/>
                  <w:rFonts w:asciiTheme="minorHAnsi" w:hAnsiTheme="minorHAnsi" w:cstheme="minorHAnsi"/>
                  <w:color w:val="023160" w:themeColor="hyperlink" w:themeShade="80"/>
                  <w:sz w:val="22"/>
                  <w:szCs w:val="22"/>
                </w:rPr>
                <w:t xml:space="preserve"> et al. (2018)</w:t>
              </w:r>
            </w:hyperlink>
            <w:r w:rsidRPr="00BE3D82">
              <w:rPr>
                <w:rFonts w:asciiTheme="minorHAnsi" w:hAnsiTheme="minorHAnsi" w:cstheme="minorHAnsi"/>
                <w:color w:val="1F3864" w:themeColor="accent1" w:themeShade="80"/>
                <w:sz w:val="22"/>
                <w:szCs w:val="22"/>
              </w:rPr>
              <w:t xml:space="preserve">; </w:t>
            </w:r>
            <w:hyperlink r:id="rId26" w:history="1">
              <w:r w:rsidRPr="00BE3D82">
                <w:rPr>
                  <w:rStyle w:val="Hyperlink"/>
                  <w:rFonts w:asciiTheme="minorHAnsi" w:hAnsiTheme="minorHAnsi" w:cstheme="minorHAnsi"/>
                  <w:color w:val="023160" w:themeColor="hyperlink" w:themeShade="80"/>
                  <w:sz w:val="22"/>
                  <w:szCs w:val="22"/>
                </w:rPr>
                <w:t>UNEP (2023)</w:t>
              </w:r>
            </w:hyperlink>
          </w:p>
        </w:tc>
        <w:tc>
          <w:tcPr>
            <w:tcW w:w="0" w:type="auto"/>
            <w:hideMark/>
          </w:tcPr>
          <w:p w14:paraId="3920C338"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 xml:space="preserve">Harris (2019) and </w:t>
            </w:r>
            <w:proofErr w:type="spellStart"/>
            <w:r w:rsidRPr="00BE3D82">
              <w:rPr>
                <w:rFonts w:asciiTheme="minorHAnsi" w:hAnsiTheme="minorHAnsi" w:cstheme="minorHAnsi"/>
                <w:color w:val="1F3864" w:themeColor="accent1" w:themeShade="80"/>
                <w:sz w:val="22"/>
                <w:szCs w:val="22"/>
              </w:rPr>
              <w:t>Dellmuth</w:t>
            </w:r>
            <w:proofErr w:type="spellEnd"/>
            <w:r w:rsidRPr="00BE3D82">
              <w:rPr>
                <w:rFonts w:asciiTheme="minorHAnsi" w:hAnsiTheme="minorHAnsi" w:cstheme="minorHAnsi"/>
                <w:color w:val="1F3864" w:themeColor="accent1" w:themeShade="80"/>
                <w:sz w:val="22"/>
                <w:szCs w:val="22"/>
              </w:rPr>
              <w:t> et al. (2018) stress that effective climate governance must integrate ocean systems, tackling pollution, acidification, and resilience; UNEP (2023) frames these as core to multilateral environmental action.</w:t>
            </w:r>
          </w:p>
        </w:tc>
        <w:tc>
          <w:tcPr>
            <w:tcW w:w="0" w:type="auto"/>
          </w:tcPr>
          <w:p w14:paraId="791C2946" w14:textId="0AC75C7E"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Addresses marine pollution, climate impacts, and ocean acidification</w:t>
            </w:r>
          </w:p>
        </w:tc>
        <w:tc>
          <w:tcPr>
            <w:tcW w:w="0" w:type="auto"/>
            <w:hideMark/>
          </w:tcPr>
          <w:p w14:paraId="38EDFF28" w14:textId="600F0F8E"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Oceans increasingly positioned within global climate regimes, prompting expanded mandates for IMO, UNFCCC, and UNEP on marine impacts.</w:t>
            </w:r>
          </w:p>
        </w:tc>
      </w:tr>
      <w:tr w:rsidR="00375DAC" w:rsidRPr="00BE3D82" w14:paraId="47DF9C6D" w14:textId="77777777" w:rsidTr="00375DAC">
        <w:tc>
          <w:tcPr>
            <w:tcW w:w="0" w:type="auto"/>
            <w:hideMark/>
          </w:tcPr>
          <w:p w14:paraId="629A45EB"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Sustainable Development &amp; Capacity Building</w:t>
            </w:r>
          </w:p>
        </w:tc>
        <w:tc>
          <w:tcPr>
            <w:tcW w:w="0" w:type="auto"/>
            <w:hideMark/>
          </w:tcPr>
          <w:p w14:paraId="537941E7" w14:textId="77777777" w:rsidR="00375DAC" w:rsidRPr="00BE3D82" w:rsidRDefault="00375DAC" w:rsidP="00375DAC">
            <w:pPr>
              <w:rPr>
                <w:rFonts w:asciiTheme="minorHAnsi" w:hAnsiTheme="minorHAnsi" w:cstheme="minorHAnsi"/>
                <w:color w:val="1F3864" w:themeColor="accent1" w:themeShade="80"/>
                <w:sz w:val="22"/>
                <w:szCs w:val="22"/>
              </w:rPr>
            </w:pPr>
            <w:hyperlink r:id="rId27" w:history="1">
              <w:r w:rsidRPr="00BE3D82">
                <w:rPr>
                  <w:rStyle w:val="Hyperlink"/>
                  <w:rFonts w:asciiTheme="minorHAnsi" w:hAnsiTheme="minorHAnsi" w:cstheme="minorHAnsi"/>
                  <w:color w:val="023160" w:themeColor="hyperlink" w:themeShade="80"/>
                  <w:sz w:val="22"/>
                  <w:szCs w:val="22"/>
                </w:rPr>
                <w:t>DOALOS (2022)</w:t>
              </w:r>
            </w:hyperlink>
            <w:r w:rsidRPr="00BE3D82">
              <w:rPr>
                <w:rFonts w:asciiTheme="minorHAnsi" w:hAnsiTheme="minorHAnsi" w:cstheme="minorHAnsi"/>
                <w:color w:val="1F3864" w:themeColor="accent1" w:themeShade="80"/>
                <w:sz w:val="22"/>
                <w:szCs w:val="22"/>
              </w:rPr>
              <w:t xml:space="preserve">; </w:t>
            </w:r>
            <w:hyperlink r:id="rId28" w:history="1">
              <w:r w:rsidRPr="00BE3D82">
                <w:rPr>
                  <w:rStyle w:val="Hyperlink"/>
                  <w:rFonts w:asciiTheme="minorHAnsi" w:hAnsiTheme="minorHAnsi" w:cstheme="minorHAnsi"/>
                  <w:color w:val="023160" w:themeColor="hyperlink" w:themeShade="80"/>
                  <w:sz w:val="22"/>
                  <w:szCs w:val="22"/>
                </w:rPr>
                <w:t>OECD (2023)</w:t>
              </w:r>
            </w:hyperlink>
            <w:r w:rsidRPr="00BE3D82">
              <w:rPr>
                <w:rFonts w:asciiTheme="minorHAnsi" w:hAnsiTheme="minorHAnsi" w:cstheme="minorHAnsi"/>
                <w:color w:val="1F3864" w:themeColor="accent1" w:themeShade="80"/>
                <w:sz w:val="22"/>
                <w:szCs w:val="22"/>
              </w:rPr>
              <w:t xml:space="preserve">; </w:t>
            </w:r>
            <w:hyperlink r:id="rId29" w:history="1">
              <w:r w:rsidRPr="00BE3D82">
                <w:rPr>
                  <w:rStyle w:val="Hyperlink"/>
                  <w:rFonts w:asciiTheme="minorHAnsi" w:hAnsiTheme="minorHAnsi" w:cstheme="minorHAnsi"/>
                  <w:color w:val="023160" w:themeColor="hyperlink" w:themeShade="80"/>
                  <w:sz w:val="22"/>
                  <w:szCs w:val="22"/>
                </w:rPr>
                <w:t>UNDP</w:t>
              </w:r>
            </w:hyperlink>
          </w:p>
        </w:tc>
        <w:tc>
          <w:tcPr>
            <w:tcW w:w="0" w:type="auto"/>
            <w:hideMark/>
          </w:tcPr>
          <w:p w14:paraId="6DE22C95"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DOALOS (2022) identifies capacity</w:t>
            </w:r>
            <w:r w:rsidRPr="00BE3D82">
              <w:rPr>
                <w:rFonts w:asciiTheme="minorHAnsi" w:hAnsiTheme="minorHAnsi" w:cstheme="minorHAnsi"/>
                <w:color w:val="1F3864" w:themeColor="accent1" w:themeShade="80"/>
                <w:sz w:val="22"/>
                <w:szCs w:val="22"/>
              </w:rPr>
              <w:noBreakHyphen/>
              <w:t xml:space="preserve">building as essential for equitable participation; OECD (2023) links SDG 14 to inclusive </w:t>
            </w:r>
            <w:r w:rsidRPr="00BE3D82">
              <w:rPr>
                <w:rFonts w:asciiTheme="minorHAnsi" w:hAnsiTheme="minorHAnsi" w:cstheme="minorHAnsi"/>
                <w:color w:val="1F3864" w:themeColor="accent1" w:themeShade="80"/>
                <w:sz w:val="22"/>
                <w:szCs w:val="22"/>
              </w:rPr>
              <w:lastRenderedPageBreak/>
              <w:t>growth and institutional strengthening.</w:t>
            </w:r>
          </w:p>
        </w:tc>
        <w:tc>
          <w:tcPr>
            <w:tcW w:w="0" w:type="auto"/>
          </w:tcPr>
          <w:p w14:paraId="67B9714E" w14:textId="1D34090B"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lastRenderedPageBreak/>
              <w:t>Anchored in SDG 14; supports inclusive growth and institutional strengthening</w:t>
            </w:r>
          </w:p>
        </w:tc>
        <w:tc>
          <w:tcPr>
            <w:tcW w:w="0" w:type="auto"/>
            <w:hideMark/>
          </w:tcPr>
          <w:p w14:paraId="18D53F07" w14:textId="4739F2A0"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Post</w:t>
            </w:r>
            <w:r w:rsidRPr="00BE3D82">
              <w:rPr>
                <w:rFonts w:asciiTheme="minorHAnsi" w:hAnsiTheme="minorHAnsi" w:cstheme="minorHAnsi"/>
                <w:color w:val="1F3864" w:themeColor="accent1" w:themeShade="80"/>
                <w:sz w:val="22"/>
                <w:szCs w:val="22"/>
              </w:rPr>
              <w:noBreakHyphen/>
              <w:t xml:space="preserve">2015, SDG 14 mainstreamed into IGO agendas, with technical assistance and </w:t>
            </w:r>
            <w:r w:rsidRPr="00BE3D82">
              <w:rPr>
                <w:rFonts w:asciiTheme="minorHAnsi" w:hAnsiTheme="minorHAnsi" w:cstheme="minorHAnsi"/>
                <w:color w:val="1F3864" w:themeColor="accent1" w:themeShade="80"/>
                <w:sz w:val="22"/>
                <w:szCs w:val="22"/>
              </w:rPr>
              <w:lastRenderedPageBreak/>
              <w:t>training prioritised for SIDS and developing states.</w:t>
            </w:r>
          </w:p>
        </w:tc>
      </w:tr>
      <w:tr w:rsidR="00375DAC" w:rsidRPr="00BE3D82" w14:paraId="525C8CF1" w14:textId="77777777" w:rsidTr="00375DAC">
        <w:tc>
          <w:tcPr>
            <w:tcW w:w="0" w:type="auto"/>
            <w:hideMark/>
          </w:tcPr>
          <w:p w14:paraId="6880D3DE"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lastRenderedPageBreak/>
              <w:t>International Cooperation &amp; Governance</w:t>
            </w:r>
          </w:p>
        </w:tc>
        <w:tc>
          <w:tcPr>
            <w:tcW w:w="0" w:type="auto"/>
            <w:hideMark/>
          </w:tcPr>
          <w:p w14:paraId="314CD66C" w14:textId="77777777" w:rsidR="00375DAC" w:rsidRPr="00BE3D82" w:rsidRDefault="00375DAC" w:rsidP="00375DAC">
            <w:pPr>
              <w:rPr>
                <w:rFonts w:asciiTheme="minorHAnsi" w:hAnsiTheme="minorHAnsi" w:cstheme="minorHAnsi"/>
                <w:color w:val="1F3864" w:themeColor="accent1" w:themeShade="80"/>
                <w:sz w:val="22"/>
                <w:szCs w:val="22"/>
              </w:rPr>
            </w:pPr>
            <w:hyperlink r:id="rId30" w:history="1">
              <w:r w:rsidRPr="00BE3D82">
                <w:rPr>
                  <w:rStyle w:val="Hyperlink"/>
                  <w:rFonts w:asciiTheme="minorHAnsi" w:hAnsiTheme="minorHAnsi" w:cstheme="minorHAnsi"/>
                  <w:color w:val="023160" w:themeColor="hyperlink" w:themeShade="80"/>
                  <w:sz w:val="22"/>
                  <w:szCs w:val="22"/>
                </w:rPr>
                <w:t>Chen &amp; Liu (2023)</w:t>
              </w:r>
            </w:hyperlink>
            <w:r w:rsidRPr="00BE3D82">
              <w:rPr>
                <w:rFonts w:asciiTheme="minorHAnsi" w:hAnsiTheme="minorHAnsi" w:cstheme="minorHAnsi"/>
                <w:color w:val="1F3864" w:themeColor="accent1" w:themeShade="80"/>
                <w:sz w:val="22"/>
                <w:szCs w:val="22"/>
              </w:rPr>
              <w:t xml:space="preserve">; </w:t>
            </w:r>
            <w:hyperlink r:id="rId31" w:history="1">
              <w:r w:rsidRPr="00BE3D82">
                <w:rPr>
                  <w:rStyle w:val="Hyperlink"/>
                  <w:rFonts w:asciiTheme="minorHAnsi" w:hAnsiTheme="minorHAnsi" w:cstheme="minorHAnsi"/>
                  <w:color w:val="023160" w:themeColor="hyperlink" w:themeShade="80"/>
                  <w:sz w:val="22"/>
                  <w:szCs w:val="22"/>
                </w:rPr>
                <w:t>UNEP (2023)</w:t>
              </w:r>
            </w:hyperlink>
            <w:r w:rsidRPr="00BE3D82">
              <w:rPr>
                <w:rFonts w:asciiTheme="minorHAnsi" w:hAnsiTheme="minorHAnsi" w:cstheme="minorHAnsi"/>
                <w:color w:val="1F3864" w:themeColor="accent1" w:themeShade="80"/>
                <w:sz w:val="22"/>
                <w:szCs w:val="22"/>
              </w:rPr>
              <w:t xml:space="preserve">; </w:t>
            </w:r>
            <w:hyperlink r:id="rId32" w:history="1">
              <w:r w:rsidRPr="00BE3D82">
                <w:rPr>
                  <w:rStyle w:val="Hyperlink"/>
                  <w:rFonts w:asciiTheme="minorHAnsi" w:hAnsiTheme="minorHAnsi" w:cstheme="minorHAnsi"/>
                  <w:color w:val="023160" w:themeColor="hyperlink" w:themeShade="80"/>
                  <w:sz w:val="22"/>
                  <w:szCs w:val="22"/>
                </w:rPr>
                <w:t>Nairobi Convention (2024)</w:t>
              </w:r>
            </w:hyperlink>
          </w:p>
        </w:tc>
        <w:tc>
          <w:tcPr>
            <w:tcW w:w="0" w:type="auto"/>
            <w:hideMark/>
          </w:tcPr>
          <w:p w14:paraId="6BCAC0DA"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Chen &amp; Liu (2023) show IGOs’ role in legal harmonisation and regional integration; UNEP and Nairobi Convention stress cooperation to overcome fragmented governance.</w:t>
            </w:r>
          </w:p>
        </w:tc>
        <w:tc>
          <w:tcPr>
            <w:tcW w:w="0" w:type="auto"/>
          </w:tcPr>
          <w:p w14:paraId="400D44AF" w14:textId="704BB878"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Responds to fragmented governance and promotes multilateral coordination</w:t>
            </w:r>
          </w:p>
        </w:tc>
        <w:tc>
          <w:tcPr>
            <w:tcW w:w="0" w:type="auto"/>
            <w:hideMark/>
          </w:tcPr>
          <w:p w14:paraId="5C55604F" w14:textId="30B1828B"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Growth of multilateral and regional ocean governance frameworks to manage transboundary and high</w:t>
            </w:r>
            <w:r w:rsidRPr="00BE3D82">
              <w:rPr>
                <w:rFonts w:asciiTheme="minorHAnsi" w:hAnsiTheme="minorHAnsi" w:cstheme="minorHAnsi"/>
                <w:color w:val="1F3864" w:themeColor="accent1" w:themeShade="80"/>
                <w:sz w:val="22"/>
                <w:szCs w:val="22"/>
              </w:rPr>
              <w:noBreakHyphen/>
              <w:t>seas issues.</w:t>
            </w:r>
          </w:p>
        </w:tc>
      </w:tr>
      <w:tr w:rsidR="00375DAC" w:rsidRPr="00BE3D82" w14:paraId="4BD29141" w14:textId="77777777" w:rsidTr="00375DAC">
        <w:tc>
          <w:tcPr>
            <w:tcW w:w="0" w:type="auto"/>
            <w:hideMark/>
          </w:tcPr>
          <w:p w14:paraId="4397D603"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Research, Science &amp; Innovation</w:t>
            </w:r>
          </w:p>
        </w:tc>
        <w:tc>
          <w:tcPr>
            <w:tcW w:w="0" w:type="auto"/>
            <w:hideMark/>
          </w:tcPr>
          <w:p w14:paraId="32FA107A" w14:textId="77777777" w:rsidR="00375DAC" w:rsidRPr="00BE3D82" w:rsidRDefault="00375DAC" w:rsidP="00375DAC">
            <w:pPr>
              <w:rPr>
                <w:rFonts w:asciiTheme="minorHAnsi" w:hAnsiTheme="minorHAnsi" w:cstheme="minorHAnsi"/>
                <w:color w:val="1F3864" w:themeColor="accent1" w:themeShade="80"/>
                <w:sz w:val="22"/>
                <w:szCs w:val="22"/>
              </w:rPr>
            </w:pPr>
            <w:hyperlink r:id="rId33" w:history="1">
              <w:r w:rsidRPr="00BE3D82">
                <w:rPr>
                  <w:rStyle w:val="Hyperlink"/>
                  <w:rFonts w:asciiTheme="minorHAnsi" w:hAnsiTheme="minorHAnsi" w:cstheme="minorHAnsi"/>
                  <w:color w:val="023160" w:themeColor="hyperlink" w:themeShade="80"/>
                  <w:sz w:val="22"/>
                  <w:szCs w:val="22"/>
                </w:rPr>
                <w:t>Elston et al. (2024)</w:t>
              </w:r>
            </w:hyperlink>
            <w:r w:rsidRPr="00BE3D82">
              <w:rPr>
                <w:rFonts w:asciiTheme="minorHAnsi" w:hAnsiTheme="minorHAnsi" w:cstheme="minorHAnsi"/>
                <w:color w:val="1F3864" w:themeColor="accent1" w:themeShade="80"/>
                <w:sz w:val="22"/>
                <w:szCs w:val="22"/>
              </w:rPr>
              <w:t xml:space="preserve">; </w:t>
            </w:r>
            <w:hyperlink r:id="rId34" w:history="1">
              <w:r w:rsidRPr="00BE3D82">
                <w:rPr>
                  <w:rStyle w:val="Hyperlink"/>
                  <w:rFonts w:asciiTheme="minorHAnsi" w:hAnsiTheme="minorHAnsi" w:cstheme="minorHAnsi"/>
                  <w:color w:val="023160" w:themeColor="hyperlink" w:themeShade="80"/>
                  <w:sz w:val="22"/>
                  <w:szCs w:val="22"/>
                </w:rPr>
                <w:t>OECD (2020)</w:t>
              </w:r>
            </w:hyperlink>
            <w:r w:rsidRPr="00BE3D82">
              <w:rPr>
                <w:rFonts w:asciiTheme="minorHAnsi" w:hAnsiTheme="minorHAnsi" w:cstheme="minorHAnsi"/>
                <w:color w:val="1F3864" w:themeColor="accent1" w:themeShade="80"/>
                <w:sz w:val="22"/>
                <w:szCs w:val="22"/>
              </w:rPr>
              <w:t xml:space="preserve">; </w:t>
            </w:r>
            <w:hyperlink r:id="rId35" w:history="1">
              <w:r w:rsidRPr="00BE3D82">
                <w:rPr>
                  <w:rStyle w:val="Hyperlink"/>
                  <w:rFonts w:asciiTheme="minorHAnsi" w:hAnsiTheme="minorHAnsi" w:cstheme="minorHAnsi"/>
                  <w:color w:val="023160" w:themeColor="hyperlink" w:themeShade="80"/>
                  <w:sz w:val="22"/>
                  <w:szCs w:val="22"/>
                </w:rPr>
                <w:t>IOC</w:t>
              </w:r>
              <w:r w:rsidRPr="00BE3D82">
                <w:rPr>
                  <w:rStyle w:val="Hyperlink"/>
                  <w:rFonts w:asciiTheme="minorHAnsi" w:hAnsiTheme="minorHAnsi" w:cstheme="minorHAnsi"/>
                  <w:color w:val="023160" w:themeColor="hyperlink" w:themeShade="80"/>
                  <w:sz w:val="22"/>
                  <w:szCs w:val="22"/>
                </w:rPr>
                <w:noBreakHyphen/>
                <w:t>UNESCO</w:t>
              </w:r>
            </w:hyperlink>
          </w:p>
        </w:tc>
        <w:tc>
          <w:tcPr>
            <w:tcW w:w="0" w:type="auto"/>
            <w:hideMark/>
          </w:tcPr>
          <w:p w14:paraId="3E56D490"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Elston et al. (2024) emphasise science</w:t>
            </w:r>
            <w:r w:rsidRPr="00BE3D82">
              <w:rPr>
                <w:rFonts w:asciiTheme="minorHAnsi" w:hAnsiTheme="minorHAnsi" w:cstheme="minorHAnsi"/>
                <w:color w:val="1F3864" w:themeColor="accent1" w:themeShade="80"/>
                <w:sz w:val="22"/>
                <w:szCs w:val="22"/>
              </w:rPr>
              <w:noBreakHyphen/>
              <w:t>policy interfaces for adaptive governance; OECD (2020) and IOC</w:t>
            </w:r>
            <w:r w:rsidRPr="00BE3D82">
              <w:rPr>
                <w:rFonts w:asciiTheme="minorHAnsi" w:hAnsiTheme="minorHAnsi" w:cstheme="minorHAnsi"/>
                <w:color w:val="1F3864" w:themeColor="accent1" w:themeShade="80"/>
                <w:sz w:val="22"/>
                <w:szCs w:val="22"/>
              </w:rPr>
              <w:noBreakHyphen/>
              <w:t>UNESCO highlight marine data systems and technology transfer.</w:t>
            </w:r>
          </w:p>
        </w:tc>
        <w:tc>
          <w:tcPr>
            <w:tcW w:w="0" w:type="auto"/>
          </w:tcPr>
          <w:p w14:paraId="1529B16B" w14:textId="23F0CCC1"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Enables evidence-based policy and technological advancement</w:t>
            </w:r>
          </w:p>
        </w:tc>
        <w:tc>
          <w:tcPr>
            <w:tcW w:w="0" w:type="auto"/>
            <w:hideMark/>
          </w:tcPr>
          <w:p w14:paraId="242573A7" w14:textId="3935E2F0"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Expansion of cooperative marine research platforms and global observing systems to underpin evidence</w:t>
            </w:r>
            <w:r w:rsidRPr="00BE3D82">
              <w:rPr>
                <w:rFonts w:asciiTheme="minorHAnsi" w:hAnsiTheme="minorHAnsi" w:cstheme="minorHAnsi"/>
                <w:color w:val="1F3864" w:themeColor="accent1" w:themeShade="80"/>
                <w:sz w:val="22"/>
                <w:szCs w:val="22"/>
              </w:rPr>
              <w:noBreakHyphen/>
              <w:t>based policy.</w:t>
            </w:r>
          </w:p>
        </w:tc>
      </w:tr>
      <w:tr w:rsidR="00375DAC" w:rsidRPr="00BE3D82" w14:paraId="201FC104" w14:textId="77777777" w:rsidTr="00375DAC">
        <w:tc>
          <w:tcPr>
            <w:tcW w:w="0" w:type="auto"/>
            <w:hideMark/>
          </w:tcPr>
          <w:p w14:paraId="681B3E4E"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Biodiversity &amp; Ecosystem Conservation</w:t>
            </w:r>
          </w:p>
        </w:tc>
        <w:tc>
          <w:tcPr>
            <w:tcW w:w="0" w:type="auto"/>
            <w:hideMark/>
          </w:tcPr>
          <w:p w14:paraId="7832326A" w14:textId="77777777" w:rsidR="00375DAC" w:rsidRPr="00BE3D82" w:rsidRDefault="00375DAC" w:rsidP="00375DAC">
            <w:pPr>
              <w:rPr>
                <w:rFonts w:asciiTheme="minorHAnsi" w:hAnsiTheme="minorHAnsi" w:cstheme="minorHAnsi"/>
                <w:color w:val="1F3864" w:themeColor="accent1" w:themeShade="80"/>
                <w:sz w:val="22"/>
                <w:szCs w:val="22"/>
              </w:rPr>
            </w:pPr>
            <w:hyperlink r:id="rId36" w:history="1">
              <w:proofErr w:type="spellStart"/>
              <w:r w:rsidRPr="00BE3D82">
                <w:rPr>
                  <w:rStyle w:val="Hyperlink"/>
                  <w:rFonts w:asciiTheme="minorHAnsi" w:hAnsiTheme="minorHAnsi" w:cstheme="minorHAnsi"/>
                  <w:color w:val="023160" w:themeColor="hyperlink" w:themeShade="80"/>
                  <w:sz w:val="22"/>
                  <w:szCs w:val="22"/>
                </w:rPr>
                <w:t>Gjerde</w:t>
              </w:r>
              <w:proofErr w:type="spellEnd"/>
              <w:r w:rsidRPr="00BE3D82">
                <w:rPr>
                  <w:rStyle w:val="Hyperlink"/>
                  <w:rFonts w:asciiTheme="minorHAnsi" w:hAnsiTheme="minorHAnsi" w:cstheme="minorHAnsi"/>
                  <w:color w:val="023160" w:themeColor="hyperlink" w:themeShade="80"/>
                  <w:sz w:val="22"/>
                  <w:szCs w:val="22"/>
                </w:rPr>
                <w:t xml:space="preserve"> &amp; Wright (2019)</w:t>
              </w:r>
            </w:hyperlink>
            <w:r w:rsidRPr="00BE3D82">
              <w:rPr>
                <w:rFonts w:asciiTheme="minorHAnsi" w:hAnsiTheme="minorHAnsi" w:cstheme="minorHAnsi"/>
                <w:color w:val="1F3864" w:themeColor="accent1" w:themeShade="80"/>
                <w:sz w:val="22"/>
                <w:szCs w:val="22"/>
              </w:rPr>
              <w:t xml:space="preserve">; </w:t>
            </w:r>
            <w:hyperlink r:id="rId37" w:history="1">
              <w:r w:rsidRPr="00BE3D82">
                <w:rPr>
                  <w:rStyle w:val="Hyperlink"/>
                  <w:rFonts w:asciiTheme="minorHAnsi" w:hAnsiTheme="minorHAnsi" w:cstheme="minorHAnsi"/>
                  <w:color w:val="023160" w:themeColor="hyperlink" w:themeShade="80"/>
                  <w:sz w:val="22"/>
                  <w:szCs w:val="22"/>
                </w:rPr>
                <w:t>CBD</w:t>
              </w:r>
            </w:hyperlink>
            <w:r w:rsidRPr="00BE3D82">
              <w:rPr>
                <w:rFonts w:asciiTheme="minorHAnsi" w:hAnsiTheme="minorHAnsi" w:cstheme="minorHAnsi"/>
                <w:color w:val="1F3864" w:themeColor="accent1" w:themeShade="80"/>
                <w:sz w:val="22"/>
                <w:szCs w:val="22"/>
              </w:rPr>
              <w:t xml:space="preserve">; </w:t>
            </w:r>
            <w:hyperlink r:id="rId38" w:history="1">
              <w:r w:rsidRPr="00BE3D82">
                <w:rPr>
                  <w:rStyle w:val="Hyperlink"/>
                  <w:rFonts w:asciiTheme="minorHAnsi" w:hAnsiTheme="minorHAnsi" w:cstheme="minorHAnsi"/>
                  <w:color w:val="023160" w:themeColor="hyperlink" w:themeShade="80"/>
                  <w:sz w:val="22"/>
                  <w:szCs w:val="22"/>
                </w:rPr>
                <w:t>FAO</w:t>
              </w:r>
            </w:hyperlink>
          </w:p>
        </w:tc>
        <w:tc>
          <w:tcPr>
            <w:tcW w:w="0" w:type="auto"/>
            <w:hideMark/>
          </w:tcPr>
          <w:p w14:paraId="38C504EB" w14:textId="77777777" w:rsidR="00375DAC" w:rsidRPr="00BE3D82" w:rsidRDefault="00375DAC" w:rsidP="00375DAC">
            <w:pPr>
              <w:rPr>
                <w:rFonts w:asciiTheme="minorHAnsi" w:hAnsiTheme="minorHAnsi" w:cstheme="minorHAnsi"/>
                <w:color w:val="1F3864" w:themeColor="accent1" w:themeShade="80"/>
                <w:sz w:val="22"/>
                <w:szCs w:val="22"/>
              </w:rPr>
            </w:pPr>
            <w:proofErr w:type="spellStart"/>
            <w:r w:rsidRPr="00BE3D82">
              <w:rPr>
                <w:rFonts w:asciiTheme="minorHAnsi" w:hAnsiTheme="minorHAnsi" w:cstheme="minorHAnsi"/>
                <w:color w:val="1F3864" w:themeColor="accent1" w:themeShade="80"/>
                <w:sz w:val="22"/>
                <w:szCs w:val="22"/>
              </w:rPr>
              <w:t>Gjerde</w:t>
            </w:r>
            <w:proofErr w:type="spellEnd"/>
            <w:r w:rsidRPr="00BE3D82">
              <w:rPr>
                <w:rFonts w:asciiTheme="minorHAnsi" w:hAnsiTheme="minorHAnsi" w:cstheme="minorHAnsi"/>
                <w:color w:val="1F3864" w:themeColor="accent1" w:themeShade="80"/>
                <w:sz w:val="22"/>
                <w:szCs w:val="22"/>
              </w:rPr>
              <w:t xml:space="preserve"> &amp; Wright (2019) identify biodiversity protection and equitable benefit</w:t>
            </w:r>
            <w:r w:rsidRPr="00BE3D82">
              <w:rPr>
                <w:rFonts w:asciiTheme="minorHAnsi" w:hAnsiTheme="minorHAnsi" w:cstheme="minorHAnsi"/>
                <w:color w:val="1F3864" w:themeColor="accent1" w:themeShade="80"/>
                <w:sz w:val="22"/>
                <w:szCs w:val="22"/>
              </w:rPr>
              <w:noBreakHyphen/>
              <w:t>sharing as pivotal in BBNJ talks; CBD and FAO embed ecosystem</w:t>
            </w:r>
            <w:r w:rsidRPr="00BE3D82">
              <w:rPr>
                <w:rFonts w:asciiTheme="minorHAnsi" w:hAnsiTheme="minorHAnsi" w:cstheme="minorHAnsi"/>
                <w:color w:val="1F3864" w:themeColor="accent1" w:themeShade="80"/>
                <w:sz w:val="22"/>
                <w:szCs w:val="22"/>
              </w:rPr>
              <w:noBreakHyphen/>
              <w:t>based management in global policy.</w:t>
            </w:r>
          </w:p>
        </w:tc>
        <w:tc>
          <w:tcPr>
            <w:tcW w:w="0" w:type="auto"/>
          </w:tcPr>
          <w:p w14:paraId="2DA1C415" w14:textId="67EBD703"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Protects marine biodiversity and promotes ecosystem-based management</w:t>
            </w:r>
          </w:p>
        </w:tc>
        <w:tc>
          <w:tcPr>
            <w:tcW w:w="0" w:type="auto"/>
            <w:hideMark/>
          </w:tcPr>
          <w:p w14:paraId="795A8150" w14:textId="097FD9AC"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 xml:space="preserve">High seas biodiversity gains </w:t>
            </w:r>
            <w:proofErr w:type="gramStart"/>
            <w:r w:rsidRPr="00BE3D82">
              <w:rPr>
                <w:rFonts w:asciiTheme="minorHAnsi" w:hAnsiTheme="minorHAnsi" w:cstheme="minorHAnsi"/>
                <w:color w:val="1F3864" w:themeColor="accent1" w:themeShade="80"/>
                <w:sz w:val="22"/>
                <w:szCs w:val="22"/>
              </w:rPr>
              <w:t>prominence;</w:t>
            </w:r>
            <w:proofErr w:type="gramEnd"/>
            <w:r w:rsidRPr="00BE3D82">
              <w:rPr>
                <w:rFonts w:asciiTheme="minorHAnsi" w:hAnsiTheme="minorHAnsi" w:cstheme="minorHAnsi"/>
                <w:color w:val="1F3864" w:themeColor="accent1" w:themeShade="80"/>
                <w:sz w:val="22"/>
                <w:szCs w:val="22"/>
              </w:rPr>
              <w:t xml:space="preserve"> MPAs and genetic resources governance integrated into IGO mandates.</w:t>
            </w:r>
          </w:p>
        </w:tc>
      </w:tr>
      <w:tr w:rsidR="00375DAC" w:rsidRPr="00BE3D82" w14:paraId="4EBCE27D" w14:textId="77777777" w:rsidTr="00375DAC">
        <w:tc>
          <w:tcPr>
            <w:tcW w:w="0" w:type="auto"/>
            <w:hideMark/>
          </w:tcPr>
          <w:p w14:paraId="7D3C7FF4"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Trade, Investment &amp; Economic Cooperation</w:t>
            </w:r>
          </w:p>
        </w:tc>
        <w:tc>
          <w:tcPr>
            <w:tcW w:w="0" w:type="auto"/>
            <w:hideMark/>
          </w:tcPr>
          <w:p w14:paraId="1505BB1D" w14:textId="77777777" w:rsidR="00375DAC" w:rsidRPr="00BE3D82" w:rsidRDefault="00375DAC" w:rsidP="00375DAC">
            <w:pPr>
              <w:rPr>
                <w:rFonts w:asciiTheme="minorHAnsi" w:hAnsiTheme="minorHAnsi" w:cstheme="minorHAnsi"/>
                <w:color w:val="1F3864" w:themeColor="accent1" w:themeShade="80"/>
                <w:sz w:val="22"/>
                <w:szCs w:val="22"/>
              </w:rPr>
            </w:pPr>
            <w:hyperlink r:id="rId39" w:history="1">
              <w:r w:rsidRPr="00BE3D82">
                <w:rPr>
                  <w:rStyle w:val="Hyperlink"/>
                  <w:rFonts w:asciiTheme="minorHAnsi" w:hAnsiTheme="minorHAnsi" w:cstheme="minorHAnsi"/>
                  <w:color w:val="023160" w:themeColor="hyperlink" w:themeShade="80"/>
                  <w:sz w:val="22"/>
                  <w:szCs w:val="22"/>
                </w:rPr>
                <w:t>UNCTAD (2014)</w:t>
              </w:r>
            </w:hyperlink>
            <w:r w:rsidRPr="00BE3D82">
              <w:rPr>
                <w:rFonts w:asciiTheme="minorHAnsi" w:hAnsiTheme="minorHAnsi" w:cstheme="minorHAnsi"/>
                <w:color w:val="1F3864" w:themeColor="accent1" w:themeShade="80"/>
                <w:sz w:val="22"/>
                <w:szCs w:val="22"/>
              </w:rPr>
              <w:t xml:space="preserve">; </w:t>
            </w:r>
            <w:hyperlink r:id="rId40" w:history="1">
              <w:r w:rsidRPr="00BE3D82">
                <w:rPr>
                  <w:rStyle w:val="Hyperlink"/>
                  <w:rFonts w:asciiTheme="minorHAnsi" w:hAnsiTheme="minorHAnsi" w:cstheme="minorHAnsi"/>
                  <w:color w:val="023160" w:themeColor="hyperlink" w:themeShade="80"/>
                  <w:sz w:val="22"/>
                  <w:szCs w:val="22"/>
                </w:rPr>
                <w:t>OECD (2025)</w:t>
              </w:r>
            </w:hyperlink>
            <w:r w:rsidRPr="00BE3D82">
              <w:rPr>
                <w:rFonts w:asciiTheme="minorHAnsi" w:hAnsiTheme="minorHAnsi" w:cstheme="minorHAnsi"/>
                <w:color w:val="1F3864" w:themeColor="accent1" w:themeShade="80"/>
                <w:sz w:val="22"/>
                <w:szCs w:val="22"/>
              </w:rPr>
              <w:t xml:space="preserve">; </w:t>
            </w:r>
            <w:hyperlink r:id="rId41" w:history="1">
              <w:r w:rsidRPr="00BE3D82">
                <w:rPr>
                  <w:rStyle w:val="Hyperlink"/>
                  <w:rFonts w:asciiTheme="minorHAnsi" w:hAnsiTheme="minorHAnsi" w:cstheme="minorHAnsi"/>
                  <w:color w:val="023160" w:themeColor="hyperlink" w:themeShade="80"/>
                  <w:sz w:val="22"/>
                  <w:szCs w:val="22"/>
                </w:rPr>
                <w:t>EU</w:t>
              </w:r>
              <w:r w:rsidRPr="00BE3D82">
                <w:rPr>
                  <w:rStyle w:val="Hyperlink"/>
                  <w:rFonts w:asciiTheme="minorHAnsi" w:hAnsiTheme="minorHAnsi" w:cstheme="minorHAnsi"/>
                  <w:color w:val="023160" w:themeColor="hyperlink" w:themeShade="80"/>
                  <w:sz w:val="22"/>
                  <w:szCs w:val="22"/>
                </w:rPr>
                <w:noBreakHyphen/>
                <w:t>Africa Blue Economy Report (2023)</w:t>
              </w:r>
            </w:hyperlink>
          </w:p>
        </w:tc>
        <w:tc>
          <w:tcPr>
            <w:tcW w:w="0" w:type="auto"/>
            <w:hideMark/>
          </w:tcPr>
          <w:p w14:paraId="17E80A99"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UNCTAD (2014) frames ocean trade and investment as tools for diversification; OECD (2025) and EU</w:t>
            </w:r>
            <w:r w:rsidRPr="00BE3D82">
              <w:rPr>
                <w:rFonts w:asciiTheme="minorHAnsi" w:hAnsiTheme="minorHAnsi" w:cstheme="minorHAnsi"/>
                <w:color w:val="1F3864" w:themeColor="accent1" w:themeShade="80"/>
                <w:sz w:val="22"/>
                <w:szCs w:val="22"/>
              </w:rPr>
              <w:noBreakHyphen/>
              <w:t>Africa (2023) discuss sustainable blue growth strategies.</w:t>
            </w:r>
          </w:p>
        </w:tc>
        <w:tc>
          <w:tcPr>
            <w:tcW w:w="0" w:type="auto"/>
          </w:tcPr>
          <w:p w14:paraId="4B127033" w14:textId="5DA47231"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Facilitates blue growth, market access, and investment flows</w:t>
            </w:r>
          </w:p>
        </w:tc>
        <w:tc>
          <w:tcPr>
            <w:tcW w:w="0" w:type="auto"/>
            <w:hideMark/>
          </w:tcPr>
          <w:p w14:paraId="3BEB58DD" w14:textId="6B8A5E20"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Blue economy priorities embedded in trade agreements, fisheries markets, and maritime infrastructure investment agendas.</w:t>
            </w:r>
          </w:p>
        </w:tc>
      </w:tr>
      <w:tr w:rsidR="00375DAC" w:rsidRPr="00BE3D82" w14:paraId="5FAA31A8" w14:textId="77777777" w:rsidTr="00375DAC">
        <w:tc>
          <w:tcPr>
            <w:tcW w:w="0" w:type="auto"/>
            <w:hideMark/>
          </w:tcPr>
          <w:p w14:paraId="3F49A4D6"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Human Rights, Social Justice &amp; Advocacy</w:t>
            </w:r>
          </w:p>
        </w:tc>
        <w:tc>
          <w:tcPr>
            <w:tcW w:w="0" w:type="auto"/>
            <w:hideMark/>
          </w:tcPr>
          <w:p w14:paraId="07456DE7" w14:textId="77777777" w:rsidR="00375DAC" w:rsidRPr="00BE3D82" w:rsidRDefault="00375DAC" w:rsidP="00375DAC">
            <w:pPr>
              <w:rPr>
                <w:rFonts w:asciiTheme="minorHAnsi" w:hAnsiTheme="minorHAnsi" w:cstheme="minorHAnsi"/>
                <w:color w:val="1F3864" w:themeColor="accent1" w:themeShade="80"/>
                <w:sz w:val="22"/>
                <w:szCs w:val="22"/>
              </w:rPr>
            </w:pPr>
            <w:hyperlink r:id="rId42" w:history="1">
              <w:r w:rsidRPr="00BE3D82">
                <w:rPr>
                  <w:rStyle w:val="Hyperlink"/>
                  <w:rFonts w:asciiTheme="minorHAnsi" w:hAnsiTheme="minorHAnsi" w:cstheme="minorHAnsi"/>
                  <w:color w:val="023160" w:themeColor="hyperlink" w:themeShade="80"/>
                  <w:sz w:val="22"/>
                  <w:szCs w:val="22"/>
                </w:rPr>
                <w:t>Bennett (2022)</w:t>
              </w:r>
            </w:hyperlink>
            <w:r w:rsidRPr="00BE3D82">
              <w:rPr>
                <w:rFonts w:asciiTheme="minorHAnsi" w:hAnsiTheme="minorHAnsi" w:cstheme="minorHAnsi"/>
                <w:color w:val="1F3864" w:themeColor="accent1" w:themeShade="80"/>
                <w:sz w:val="22"/>
                <w:szCs w:val="22"/>
              </w:rPr>
              <w:t xml:space="preserve">; </w:t>
            </w:r>
            <w:hyperlink r:id="rId43" w:history="1">
              <w:r w:rsidRPr="00BE3D82">
                <w:rPr>
                  <w:rStyle w:val="Hyperlink"/>
                  <w:rFonts w:asciiTheme="minorHAnsi" w:hAnsiTheme="minorHAnsi" w:cstheme="minorHAnsi"/>
                  <w:color w:val="023160" w:themeColor="hyperlink" w:themeShade="80"/>
                  <w:sz w:val="22"/>
                  <w:szCs w:val="22"/>
                </w:rPr>
                <w:t>OHCHR</w:t>
              </w:r>
            </w:hyperlink>
            <w:r w:rsidRPr="00BE3D82">
              <w:rPr>
                <w:rFonts w:asciiTheme="minorHAnsi" w:hAnsiTheme="minorHAnsi" w:cstheme="minorHAnsi"/>
                <w:color w:val="1F3864" w:themeColor="accent1" w:themeShade="80"/>
                <w:sz w:val="22"/>
                <w:szCs w:val="22"/>
              </w:rPr>
              <w:t xml:space="preserve">; </w:t>
            </w:r>
            <w:hyperlink r:id="rId44" w:history="1">
              <w:r w:rsidRPr="00BE3D82">
                <w:rPr>
                  <w:rStyle w:val="Hyperlink"/>
                  <w:rFonts w:asciiTheme="minorHAnsi" w:hAnsiTheme="minorHAnsi" w:cstheme="minorHAnsi"/>
                  <w:color w:val="023160" w:themeColor="hyperlink" w:themeShade="80"/>
                  <w:sz w:val="22"/>
                  <w:szCs w:val="22"/>
                </w:rPr>
                <w:t>One Ocean Hub</w:t>
              </w:r>
            </w:hyperlink>
          </w:p>
        </w:tc>
        <w:tc>
          <w:tcPr>
            <w:tcW w:w="0" w:type="auto"/>
            <w:hideMark/>
          </w:tcPr>
          <w:p w14:paraId="0D95E753"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 xml:space="preserve">Bennett (2022) highlights “blue justice” for marginalised groups; OHCHR and One Ocean Hub advance </w:t>
            </w:r>
            <w:r w:rsidRPr="00BE3D82">
              <w:rPr>
                <w:rFonts w:asciiTheme="minorHAnsi" w:hAnsiTheme="minorHAnsi" w:cstheme="minorHAnsi"/>
                <w:color w:val="1F3864" w:themeColor="accent1" w:themeShade="80"/>
                <w:sz w:val="22"/>
                <w:szCs w:val="22"/>
              </w:rPr>
              <w:lastRenderedPageBreak/>
              <w:t>rights</w:t>
            </w:r>
            <w:r w:rsidRPr="00BE3D82">
              <w:rPr>
                <w:rFonts w:asciiTheme="minorHAnsi" w:hAnsiTheme="minorHAnsi" w:cstheme="minorHAnsi"/>
                <w:color w:val="1F3864" w:themeColor="accent1" w:themeShade="80"/>
                <w:sz w:val="22"/>
                <w:szCs w:val="22"/>
              </w:rPr>
              <w:noBreakHyphen/>
              <w:t>based, participatory approaches.</w:t>
            </w:r>
          </w:p>
        </w:tc>
        <w:tc>
          <w:tcPr>
            <w:tcW w:w="0" w:type="auto"/>
          </w:tcPr>
          <w:p w14:paraId="1B845126" w14:textId="08BDB56B"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lastRenderedPageBreak/>
              <w:t xml:space="preserve">Promotes equity, Indigenous rights, and </w:t>
            </w:r>
            <w:r w:rsidRPr="001B7A54">
              <w:rPr>
                <w:rFonts w:asciiTheme="minorHAnsi" w:hAnsiTheme="minorHAnsi" w:cstheme="minorHAnsi"/>
                <w:color w:val="1F3864" w:themeColor="accent1" w:themeShade="80"/>
                <w:sz w:val="22"/>
                <w:szCs w:val="22"/>
              </w:rPr>
              <w:lastRenderedPageBreak/>
              <w:t>participatory governance</w:t>
            </w:r>
          </w:p>
        </w:tc>
        <w:tc>
          <w:tcPr>
            <w:tcW w:w="0" w:type="auto"/>
            <w:hideMark/>
          </w:tcPr>
          <w:p w14:paraId="4AD81BAA" w14:textId="4CD22F25"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lastRenderedPageBreak/>
              <w:t xml:space="preserve">Increasing integration of equity, Indigenous rights, and </w:t>
            </w:r>
            <w:r w:rsidRPr="00BE3D82">
              <w:rPr>
                <w:rFonts w:asciiTheme="minorHAnsi" w:hAnsiTheme="minorHAnsi" w:cstheme="minorHAnsi"/>
                <w:color w:val="1F3864" w:themeColor="accent1" w:themeShade="80"/>
                <w:sz w:val="22"/>
                <w:szCs w:val="22"/>
              </w:rPr>
              <w:lastRenderedPageBreak/>
              <w:t>gender equality into multilateral ocean governance.</w:t>
            </w:r>
          </w:p>
        </w:tc>
      </w:tr>
      <w:tr w:rsidR="00375DAC" w:rsidRPr="00BE3D82" w14:paraId="1491C0B8" w14:textId="77777777" w:rsidTr="00375DAC">
        <w:tc>
          <w:tcPr>
            <w:tcW w:w="0" w:type="auto"/>
            <w:hideMark/>
          </w:tcPr>
          <w:p w14:paraId="1F3FDF43"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lastRenderedPageBreak/>
              <w:t>Security &amp; Safety</w:t>
            </w:r>
          </w:p>
        </w:tc>
        <w:tc>
          <w:tcPr>
            <w:tcW w:w="0" w:type="auto"/>
            <w:hideMark/>
          </w:tcPr>
          <w:p w14:paraId="7064D006" w14:textId="77777777" w:rsidR="00375DAC" w:rsidRPr="00BE3D82" w:rsidRDefault="00375DAC" w:rsidP="00375DAC">
            <w:pPr>
              <w:rPr>
                <w:rFonts w:asciiTheme="minorHAnsi" w:hAnsiTheme="minorHAnsi" w:cstheme="minorHAnsi"/>
                <w:color w:val="1F3864" w:themeColor="accent1" w:themeShade="80"/>
                <w:sz w:val="22"/>
                <w:szCs w:val="22"/>
              </w:rPr>
            </w:pPr>
            <w:hyperlink r:id="rId45" w:history="1">
              <w:r w:rsidRPr="00BE3D82">
                <w:rPr>
                  <w:rStyle w:val="Hyperlink"/>
                  <w:rFonts w:asciiTheme="minorHAnsi" w:hAnsiTheme="minorHAnsi" w:cstheme="minorHAnsi"/>
                  <w:color w:val="023160" w:themeColor="hyperlink" w:themeShade="80"/>
                  <w:sz w:val="22"/>
                  <w:szCs w:val="22"/>
                </w:rPr>
                <w:t>Singh (2022)</w:t>
              </w:r>
            </w:hyperlink>
            <w:r w:rsidRPr="00BE3D82">
              <w:rPr>
                <w:rFonts w:asciiTheme="minorHAnsi" w:hAnsiTheme="minorHAnsi" w:cstheme="minorHAnsi"/>
                <w:color w:val="1F3864" w:themeColor="accent1" w:themeShade="80"/>
                <w:sz w:val="22"/>
                <w:szCs w:val="22"/>
              </w:rPr>
              <w:t xml:space="preserve">; </w:t>
            </w:r>
            <w:hyperlink r:id="rId46" w:history="1">
              <w:r w:rsidRPr="00BE3D82">
                <w:rPr>
                  <w:rStyle w:val="Hyperlink"/>
                  <w:rFonts w:asciiTheme="minorHAnsi" w:hAnsiTheme="minorHAnsi" w:cstheme="minorHAnsi"/>
                  <w:color w:val="023160" w:themeColor="hyperlink" w:themeShade="80"/>
                  <w:sz w:val="22"/>
                  <w:szCs w:val="22"/>
                </w:rPr>
                <w:t>IMO</w:t>
              </w:r>
            </w:hyperlink>
            <w:r w:rsidRPr="00BE3D82">
              <w:rPr>
                <w:rFonts w:asciiTheme="minorHAnsi" w:hAnsiTheme="minorHAnsi" w:cstheme="minorHAnsi"/>
                <w:color w:val="1F3864" w:themeColor="accent1" w:themeShade="80"/>
                <w:sz w:val="22"/>
                <w:szCs w:val="22"/>
              </w:rPr>
              <w:t xml:space="preserve">; </w:t>
            </w:r>
            <w:hyperlink r:id="rId47" w:history="1">
              <w:r w:rsidRPr="00BE3D82">
                <w:rPr>
                  <w:rStyle w:val="Hyperlink"/>
                  <w:rFonts w:asciiTheme="minorHAnsi" w:hAnsiTheme="minorHAnsi" w:cstheme="minorHAnsi"/>
                  <w:color w:val="023160" w:themeColor="hyperlink" w:themeShade="80"/>
                  <w:sz w:val="22"/>
                  <w:szCs w:val="22"/>
                </w:rPr>
                <w:t>INTERPOL</w:t>
              </w:r>
            </w:hyperlink>
          </w:p>
        </w:tc>
        <w:tc>
          <w:tcPr>
            <w:tcW w:w="0" w:type="auto"/>
            <w:hideMark/>
          </w:tcPr>
          <w:p w14:paraId="668D6958"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Singh (2022) calls for coordinated action on maritime threats; IMO and INTERPOL lead on safety standards, piracy prevention, and enforcement.</w:t>
            </w:r>
          </w:p>
        </w:tc>
        <w:tc>
          <w:tcPr>
            <w:tcW w:w="0" w:type="auto"/>
          </w:tcPr>
          <w:p w14:paraId="681B474E" w14:textId="70E587C2"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Ensures maritime safety, combats piracy and trafficking</w:t>
            </w:r>
          </w:p>
        </w:tc>
        <w:tc>
          <w:tcPr>
            <w:tcW w:w="0" w:type="auto"/>
            <w:hideMark/>
          </w:tcPr>
          <w:p w14:paraId="5A0F35DA" w14:textId="38536CCA"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Maritime security elevated post</w:t>
            </w:r>
            <w:r w:rsidRPr="00BE3D82">
              <w:rPr>
                <w:rFonts w:asciiTheme="minorHAnsi" w:hAnsiTheme="minorHAnsi" w:cstheme="minorHAnsi"/>
                <w:color w:val="1F3864" w:themeColor="accent1" w:themeShade="80"/>
                <w:sz w:val="22"/>
                <w:szCs w:val="22"/>
              </w:rPr>
              <w:noBreakHyphen/>
              <w:t>2000s, with enhanced global cooperation against piracy, trafficking, and navigational hazards.</w:t>
            </w:r>
          </w:p>
        </w:tc>
      </w:tr>
      <w:tr w:rsidR="00375DAC" w:rsidRPr="00BE3D82" w14:paraId="448338DA" w14:textId="77777777" w:rsidTr="00375DAC">
        <w:tc>
          <w:tcPr>
            <w:tcW w:w="0" w:type="auto"/>
            <w:hideMark/>
          </w:tcPr>
          <w:p w14:paraId="369B0220"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Disaster Risk Reduction &amp; Resilience</w:t>
            </w:r>
          </w:p>
        </w:tc>
        <w:tc>
          <w:tcPr>
            <w:tcW w:w="0" w:type="auto"/>
            <w:hideMark/>
          </w:tcPr>
          <w:p w14:paraId="73AD50B3" w14:textId="77777777" w:rsidR="00375DAC" w:rsidRPr="00BE3D82" w:rsidRDefault="00375DAC" w:rsidP="00375DAC">
            <w:pPr>
              <w:rPr>
                <w:rFonts w:asciiTheme="minorHAnsi" w:hAnsiTheme="minorHAnsi" w:cstheme="minorHAnsi"/>
                <w:color w:val="1F3864" w:themeColor="accent1" w:themeShade="80"/>
                <w:sz w:val="22"/>
                <w:szCs w:val="22"/>
              </w:rPr>
            </w:pPr>
            <w:hyperlink r:id="rId48" w:history="1">
              <w:proofErr w:type="spellStart"/>
              <w:r w:rsidRPr="00BE3D82">
                <w:rPr>
                  <w:rStyle w:val="Hyperlink"/>
                  <w:rFonts w:asciiTheme="minorHAnsi" w:hAnsiTheme="minorHAnsi" w:cstheme="minorHAnsi"/>
                  <w:color w:val="023160" w:themeColor="hyperlink" w:themeShade="80"/>
                  <w:sz w:val="22"/>
                  <w:szCs w:val="22"/>
                </w:rPr>
                <w:t>Nurhidayah</w:t>
              </w:r>
              <w:proofErr w:type="spellEnd"/>
              <w:r w:rsidRPr="00BE3D82">
                <w:rPr>
                  <w:rStyle w:val="Hyperlink"/>
                  <w:rFonts w:asciiTheme="minorHAnsi" w:hAnsiTheme="minorHAnsi" w:cstheme="minorHAnsi"/>
                  <w:color w:val="023160" w:themeColor="hyperlink" w:themeShade="80"/>
                  <w:sz w:val="22"/>
                  <w:szCs w:val="22"/>
                </w:rPr>
                <w:t xml:space="preserve"> et al. (2025)</w:t>
              </w:r>
            </w:hyperlink>
            <w:r w:rsidRPr="00BE3D82">
              <w:rPr>
                <w:rFonts w:asciiTheme="minorHAnsi" w:hAnsiTheme="minorHAnsi" w:cstheme="minorHAnsi"/>
                <w:color w:val="1F3864" w:themeColor="accent1" w:themeShade="80"/>
                <w:sz w:val="22"/>
                <w:szCs w:val="22"/>
              </w:rPr>
              <w:t xml:space="preserve">; </w:t>
            </w:r>
            <w:hyperlink r:id="rId49" w:history="1">
              <w:r w:rsidRPr="00BE3D82">
                <w:rPr>
                  <w:rStyle w:val="Hyperlink"/>
                  <w:rFonts w:asciiTheme="minorHAnsi" w:hAnsiTheme="minorHAnsi" w:cstheme="minorHAnsi"/>
                  <w:color w:val="023160" w:themeColor="hyperlink" w:themeShade="80"/>
                  <w:sz w:val="22"/>
                  <w:szCs w:val="22"/>
                </w:rPr>
                <w:t>UNDRR</w:t>
              </w:r>
            </w:hyperlink>
            <w:r w:rsidRPr="00BE3D82">
              <w:rPr>
                <w:rFonts w:asciiTheme="minorHAnsi" w:hAnsiTheme="minorHAnsi" w:cstheme="minorHAnsi"/>
                <w:color w:val="1F3864" w:themeColor="accent1" w:themeShade="80"/>
                <w:sz w:val="22"/>
                <w:szCs w:val="22"/>
              </w:rPr>
              <w:t xml:space="preserve">; </w:t>
            </w:r>
            <w:hyperlink r:id="rId50" w:history="1">
              <w:r w:rsidRPr="00BE3D82">
                <w:rPr>
                  <w:rStyle w:val="Hyperlink"/>
                  <w:rFonts w:asciiTheme="minorHAnsi" w:hAnsiTheme="minorHAnsi" w:cstheme="minorHAnsi"/>
                  <w:color w:val="023160" w:themeColor="hyperlink" w:themeShade="80"/>
                  <w:sz w:val="22"/>
                  <w:szCs w:val="22"/>
                </w:rPr>
                <w:t>GOAP (2025)</w:t>
              </w:r>
            </w:hyperlink>
          </w:p>
        </w:tc>
        <w:tc>
          <w:tcPr>
            <w:tcW w:w="0" w:type="auto"/>
            <w:hideMark/>
          </w:tcPr>
          <w:p w14:paraId="5AFDE361" w14:textId="77777777" w:rsidR="00375DAC" w:rsidRPr="00BE3D82" w:rsidRDefault="00375DAC" w:rsidP="00375DAC">
            <w:pPr>
              <w:rPr>
                <w:rFonts w:asciiTheme="minorHAnsi" w:hAnsiTheme="minorHAnsi" w:cstheme="minorHAnsi"/>
                <w:color w:val="1F3864" w:themeColor="accent1" w:themeShade="80"/>
                <w:sz w:val="22"/>
                <w:szCs w:val="22"/>
              </w:rPr>
            </w:pPr>
            <w:proofErr w:type="spellStart"/>
            <w:r w:rsidRPr="00BE3D82">
              <w:rPr>
                <w:rFonts w:asciiTheme="minorHAnsi" w:hAnsiTheme="minorHAnsi" w:cstheme="minorHAnsi"/>
                <w:color w:val="1F3864" w:themeColor="accent1" w:themeShade="80"/>
                <w:sz w:val="22"/>
                <w:szCs w:val="22"/>
              </w:rPr>
              <w:t>Nurhidayah</w:t>
            </w:r>
            <w:proofErr w:type="spellEnd"/>
            <w:r w:rsidRPr="00BE3D82">
              <w:rPr>
                <w:rFonts w:asciiTheme="minorHAnsi" w:hAnsiTheme="minorHAnsi" w:cstheme="minorHAnsi"/>
                <w:color w:val="1F3864" w:themeColor="accent1" w:themeShade="80"/>
                <w:sz w:val="22"/>
                <w:szCs w:val="22"/>
              </w:rPr>
              <w:t> et al. (2025) show Sendai Framework integration reshaping coastal disaster governance; UNDRR supports resilience planning and early warning.</w:t>
            </w:r>
          </w:p>
        </w:tc>
        <w:tc>
          <w:tcPr>
            <w:tcW w:w="0" w:type="auto"/>
          </w:tcPr>
          <w:p w14:paraId="74F886DB" w14:textId="30961F07"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Builds resilience to climate-related disasters in coastal zones</w:t>
            </w:r>
          </w:p>
        </w:tc>
        <w:tc>
          <w:tcPr>
            <w:tcW w:w="0" w:type="auto"/>
            <w:hideMark/>
          </w:tcPr>
          <w:p w14:paraId="5908DFEC" w14:textId="42FA5DDF"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Climate</w:t>
            </w:r>
            <w:r w:rsidRPr="00BE3D82">
              <w:rPr>
                <w:rFonts w:asciiTheme="minorHAnsi" w:hAnsiTheme="minorHAnsi" w:cstheme="minorHAnsi"/>
                <w:color w:val="1F3864" w:themeColor="accent1" w:themeShade="80"/>
                <w:sz w:val="22"/>
                <w:szCs w:val="22"/>
              </w:rPr>
              <w:noBreakHyphen/>
              <w:t>related disaster management embedded in coastal governance, with emphasis on vulnerable regions.</w:t>
            </w:r>
          </w:p>
        </w:tc>
      </w:tr>
      <w:tr w:rsidR="00375DAC" w:rsidRPr="00BE3D82" w14:paraId="4B97203F" w14:textId="77777777" w:rsidTr="00375DAC">
        <w:tc>
          <w:tcPr>
            <w:tcW w:w="0" w:type="auto"/>
            <w:hideMark/>
          </w:tcPr>
          <w:p w14:paraId="7928CE0C"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Cultural Heritage, Traditional Knowledge &amp; Data Governance</w:t>
            </w:r>
          </w:p>
        </w:tc>
        <w:tc>
          <w:tcPr>
            <w:tcW w:w="0" w:type="auto"/>
            <w:hideMark/>
          </w:tcPr>
          <w:p w14:paraId="2D758DCF" w14:textId="77777777" w:rsidR="00375DAC" w:rsidRPr="00BE3D82" w:rsidRDefault="00375DAC" w:rsidP="00375DAC">
            <w:pPr>
              <w:rPr>
                <w:rFonts w:asciiTheme="minorHAnsi" w:hAnsiTheme="minorHAnsi" w:cstheme="minorHAnsi"/>
                <w:color w:val="1F3864" w:themeColor="accent1" w:themeShade="80"/>
                <w:sz w:val="22"/>
                <w:szCs w:val="22"/>
              </w:rPr>
            </w:pPr>
            <w:hyperlink r:id="rId51" w:history="1">
              <w:r w:rsidRPr="00BE3D82">
                <w:rPr>
                  <w:rStyle w:val="Hyperlink"/>
                  <w:rFonts w:asciiTheme="minorHAnsi" w:hAnsiTheme="minorHAnsi" w:cstheme="minorHAnsi"/>
                  <w:color w:val="023160" w:themeColor="hyperlink" w:themeShade="80"/>
                  <w:sz w:val="22"/>
                  <w:szCs w:val="22"/>
                </w:rPr>
                <w:t>Spano &amp; Zhang (2025)</w:t>
              </w:r>
            </w:hyperlink>
            <w:r w:rsidRPr="00BE3D82">
              <w:rPr>
                <w:rFonts w:asciiTheme="minorHAnsi" w:hAnsiTheme="minorHAnsi" w:cstheme="minorHAnsi"/>
                <w:color w:val="1F3864" w:themeColor="accent1" w:themeShade="80"/>
                <w:sz w:val="22"/>
                <w:szCs w:val="22"/>
              </w:rPr>
              <w:t xml:space="preserve">; </w:t>
            </w:r>
            <w:hyperlink r:id="rId52" w:history="1">
              <w:r w:rsidRPr="00BE3D82">
                <w:rPr>
                  <w:rStyle w:val="Hyperlink"/>
                  <w:rFonts w:asciiTheme="minorHAnsi" w:hAnsiTheme="minorHAnsi" w:cstheme="minorHAnsi"/>
                  <w:color w:val="023160" w:themeColor="hyperlink" w:themeShade="80"/>
                  <w:sz w:val="22"/>
                  <w:szCs w:val="22"/>
                </w:rPr>
                <w:t>UNESCO</w:t>
              </w:r>
            </w:hyperlink>
            <w:r w:rsidRPr="00BE3D82">
              <w:rPr>
                <w:rFonts w:asciiTheme="minorHAnsi" w:hAnsiTheme="minorHAnsi" w:cstheme="minorHAnsi"/>
                <w:color w:val="1F3864" w:themeColor="accent1" w:themeShade="80"/>
                <w:sz w:val="22"/>
                <w:szCs w:val="22"/>
              </w:rPr>
              <w:t xml:space="preserve">; </w:t>
            </w:r>
            <w:hyperlink r:id="rId53" w:history="1">
              <w:r w:rsidRPr="00BE3D82">
                <w:rPr>
                  <w:rStyle w:val="Hyperlink"/>
                  <w:rFonts w:asciiTheme="minorHAnsi" w:hAnsiTheme="minorHAnsi" w:cstheme="minorHAnsi"/>
                  <w:color w:val="023160" w:themeColor="hyperlink" w:themeShade="80"/>
                  <w:sz w:val="22"/>
                  <w:szCs w:val="22"/>
                </w:rPr>
                <w:t>WIPO (2023)</w:t>
              </w:r>
            </w:hyperlink>
          </w:p>
        </w:tc>
        <w:tc>
          <w:tcPr>
            <w:tcW w:w="0" w:type="auto"/>
            <w:hideMark/>
          </w:tcPr>
          <w:p w14:paraId="11CE03D0"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Spano &amp; Zhang (2025) argue for integrating Indigenous knowledge and cultural values; UNESCO and WIPO frameworks protect heritage and knowledge rights.</w:t>
            </w:r>
          </w:p>
        </w:tc>
        <w:tc>
          <w:tcPr>
            <w:tcW w:w="0" w:type="auto"/>
          </w:tcPr>
          <w:p w14:paraId="13B62FA9" w14:textId="0A312BA2"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Integrates Indigenous knowledge and protects marine cultural heritage</w:t>
            </w:r>
          </w:p>
        </w:tc>
        <w:tc>
          <w:tcPr>
            <w:tcW w:w="0" w:type="auto"/>
            <w:hideMark/>
          </w:tcPr>
          <w:p w14:paraId="2774EC39" w14:textId="2B559E9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Cultural heritage and ILK increasingly recognised as core components of sustainable and equitable ocean governance.</w:t>
            </w:r>
          </w:p>
        </w:tc>
      </w:tr>
    </w:tbl>
    <w:p w14:paraId="45139558" w14:textId="77777777" w:rsidR="001B7A54" w:rsidRPr="006E2E54" w:rsidRDefault="001B7A54" w:rsidP="005C63E7">
      <w:pPr>
        <w:rPr>
          <w:rFonts w:asciiTheme="minorHAnsi" w:hAnsiTheme="minorHAnsi" w:cstheme="minorHAnsi"/>
          <w:color w:val="1F3864" w:themeColor="accent1" w:themeShade="80"/>
          <w:sz w:val="22"/>
          <w:szCs w:val="22"/>
        </w:rPr>
      </w:pPr>
    </w:p>
    <w:p w14:paraId="7CEF8265" w14:textId="77777777" w:rsidR="005C63E7" w:rsidRPr="006E2E54" w:rsidRDefault="005C63E7" w:rsidP="005C63E7">
      <w:pPr>
        <w:rPr>
          <w:rFonts w:asciiTheme="minorHAnsi" w:hAnsiTheme="minorHAnsi" w:cstheme="minorHAnsi"/>
          <w:color w:val="1F3864" w:themeColor="accent1" w:themeShade="80"/>
          <w:sz w:val="22"/>
          <w:szCs w:val="22"/>
        </w:rPr>
      </w:pPr>
    </w:p>
    <w:p w14:paraId="0B6A6A89"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Sources of Jurisdiction</w:t>
      </w:r>
    </w:p>
    <w:p w14:paraId="4A16C866" w14:textId="322A6EB0" w:rsidR="00101B62" w:rsidRPr="00101B62" w:rsidRDefault="00101B62" w:rsidP="00101B62">
      <w:pPr>
        <w:jc w:val="both"/>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br/>
        <w:t xml:space="preserve">The categorisation of </w:t>
      </w:r>
      <w:r w:rsidRPr="00101B62">
        <w:rPr>
          <w:rFonts w:asciiTheme="minorHAnsi" w:hAnsiTheme="minorHAnsi" w:cstheme="minorHAnsi"/>
          <w:i/>
          <w:iCs/>
          <w:color w:val="1F3864" w:themeColor="accent1" w:themeShade="80"/>
          <w:sz w:val="22"/>
          <w:szCs w:val="22"/>
        </w:rPr>
        <w:t>Sources Jurisdiction</w:t>
      </w:r>
      <w:r w:rsidRPr="00101B62">
        <w:rPr>
          <w:rFonts w:asciiTheme="minorHAnsi" w:hAnsiTheme="minorHAnsi" w:cstheme="minorHAnsi"/>
          <w:color w:val="1F3864" w:themeColor="accent1" w:themeShade="80"/>
          <w:sz w:val="22"/>
          <w:szCs w:val="22"/>
        </w:rPr>
        <w:t xml:space="preserve"> for IGOs in global ocean economy governance draws on foundational work in international institutional law and global governance scholarship. Core legal analyses — such as </w:t>
      </w:r>
      <w:proofErr w:type="spellStart"/>
      <w:r w:rsidRPr="00101B62">
        <w:rPr>
          <w:rFonts w:asciiTheme="minorHAnsi" w:hAnsiTheme="minorHAnsi" w:cstheme="minorHAnsi"/>
          <w:color w:val="1F3864" w:themeColor="accent1" w:themeShade="80"/>
          <w:sz w:val="22"/>
          <w:szCs w:val="22"/>
        </w:rPr>
        <w:t>Klabbers</w:t>
      </w:r>
      <w:proofErr w:type="spellEnd"/>
      <w:r w:rsidRPr="00101B62">
        <w:rPr>
          <w:rFonts w:asciiTheme="minorHAnsi" w:hAnsiTheme="minorHAnsi" w:cstheme="minorHAnsi"/>
          <w:color w:val="1F3864" w:themeColor="accent1" w:themeShade="80"/>
          <w:sz w:val="22"/>
          <w:szCs w:val="22"/>
        </w:rPr>
        <w:t> (2015) on the constitutive role of treaties, Alvarez (2005) on IGOs as law</w:t>
      </w:r>
      <w:r w:rsidRPr="00101B62">
        <w:rPr>
          <w:rFonts w:asciiTheme="minorHAnsi" w:hAnsiTheme="minorHAnsi" w:cstheme="minorHAnsi"/>
          <w:color w:val="1F3864" w:themeColor="accent1" w:themeShade="80"/>
          <w:sz w:val="22"/>
          <w:szCs w:val="22"/>
        </w:rPr>
        <w:noBreakHyphen/>
        <w:t xml:space="preserve">makers, and Boyle &amp; </w:t>
      </w:r>
      <w:proofErr w:type="spellStart"/>
      <w:r w:rsidRPr="00101B62">
        <w:rPr>
          <w:rFonts w:asciiTheme="minorHAnsi" w:hAnsiTheme="minorHAnsi" w:cstheme="minorHAnsi"/>
          <w:color w:val="1F3864" w:themeColor="accent1" w:themeShade="80"/>
          <w:sz w:val="22"/>
          <w:szCs w:val="22"/>
        </w:rPr>
        <w:t>Chinkin</w:t>
      </w:r>
      <w:proofErr w:type="spellEnd"/>
      <w:r w:rsidRPr="00101B62">
        <w:rPr>
          <w:rFonts w:asciiTheme="minorHAnsi" w:hAnsiTheme="minorHAnsi" w:cstheme="minorHAnsi"/>
          <w:color w:val="1F3864" w:themeColor="accent1" w:themeShade="80"/>
          <w:sz w:val="22"/>
          <w:szCs w:val="22"/>
        </w:rPr>
        <w:t xml:space="preserve"> (2007) on the making of international law — establish the primacy of founding instruments in defining legal personality, mandate, and jurisdictional scope. Building on these, studies by Abbott &amp; Snidal (2000; 2001), </w:t>
      </w:r>
      <w:proofErr w:type="spellStart"/>
      <w:r w:rsidRPr="00101B62">
        <w:rPr>
          <w:rFonts w:asciiTheme="minorHAnsi" w:hAnsiTheme="minorHAnsi" w:cstheme="minorHAnsi"/>
          <w:color w:val="1F3864" w:themeColor="accent1" w:themeShade="80"/>
          <w:sz w:val="22"/>
          <w:szCs w:val="22"/>
        </w:rPr>
        <w:t>Pauwelyn</w:t>
      </w:r>
      <w:proofErr w:type="spellEnd"/>
      <w:r w:rsidRPr="00101B62">
        <w:rPr>
          <w:rFonts w:asciiTheme="minorHAnsi" w:hAnsiTheme="minorHAnsi" w:cstheme="minorHAnsi"/>
          <w:color w:val="1F3864" w:themeColor="accent1" w:themeShade="80"/>
          <w:sz w:val="22"/>
          <w:szCs w:val="22"/>
        </w:rPr>
        <w:t> et al. (2012), and Romano (2006) illuminate the role of secondary law, technical standards, and informal instruments in extending or constraining operational authority.</w:t>
      </w:r>
    </w:p>
    <w:p w14:paraId="6712C8DE" w14:textId="77777777" w:rsidR="00101B62" w:rsidRPr="00101B62" w:rsidRDefault="00101B62" w:rsidP="00101B62">
      <w:pPr>
        <w:jc w:val="both"/>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 xml:space="preserve">This framework also incorporates compliance and oversight perspectives from Chayes &amp; Chayes (1995) and </w:t>
      </w:r>
      <w:proofErr w:type="spellStart"/>
      <w:r w:rsidRPr="00101B62">
        <w:rPr>
          <w:rFonts w:asciiTheme="minorHAnsi" w:hAnsiTheme="minorHAnsi" w:cstheme="minorHAnsi"/>
          <w:color w:val="1F3864" w:themeColor="accent1" w:themeShade="80"/>
          <w:sz w:val="22"/>
          <w:szCs w:val="22"/>
        </w:rPr>
        <w:t>Raustiala</w:t>
      </w:r>
      <w:proofErr w:type="spellEnd"/>
      <w:r w:rsidRPr="00101B62">
        <w:rPr>
          <w:rFonts w:asciiTheme="minorHAnsi" w:hAnsiTheme="minorHAnsi" w:cstheme="minorHAnsi"/>
          <w:color w:val="1F3864" w:themeColor="accent1" w:themeShade="80"/>
          <w:sz w:val="22"/>
          <w:szCs w:val="22"/>
        </w:rPr>
        <w:t xml:space="preserve"> &amp; Slaughter (2002), and governance theory insights from Barnett &amp; </w:t>
      </w:r>
      <w:proofErr w:type="spellStart"/>
      <w:r w:rsidRPr="00101B62">
        <w:rPr>
          <w:rFonts w:asciiTheme="minorHAnsi" w:hAnsiTheme="minorHAnsi" w:cstheme="minorHAnsi"/>
          <w:color w:val="1F3864" w:themeColor="accent1" w:themeShade="80"/>
          <w:sz w:val="22"/>
          <w:szCs w:val="22"/>
        </w:rPr>
        <w:t>Finnemore</w:t>
      </w:r>
      <w:proofErr w:type="spellEnd"/>
      <w:r w:rsidRPr="00101B62">
        <w:rPr>
          <w:rFonts w:asciiTheme="minorHAnsi" w:hAnsiTheme="minorHAnsi" w:cstheme="minorHAnsi"/>
          <w:color w:val="1F3864" w:themeColor="accent1" w:themeShade="80"/>
          <w:sz w:val="22"/>
          <w:szCs w:val="22"/>
        </w:rPr>
        <w:t> (2004) on the informal rules that shape institutional behaviour. By mapping ten meta</w:t>
      </w:r>
      <w:r w:rsidRPr="00101B62">
        <w:rPr>
          <w:rFonts w:asciiTheme="minorHAnsi" w:hAnsiTheme="minorHAnsi" w:cstheme="minorHAnsi"/>
          <w:color w:val="1F3864" w:themeColor="accent1" w:themeShade="80"/>
          <w:sz w:val="22"/>
          <w:szCs w:val="22"/>
        </w:rPr>
        <w:noBreakHyphen/>
        <w:t xml:space="preserve">categories — from </w:t>
      </w:r>
      <w:r w:rsidRPr="00101B62">
        <w:rPr>
          <w:rFonts w:asciiTheme="minorHAnsi" w:hAnsiTheme="minorHAnsi" w:cstheme="minorHAnsi"/>
          <w:b/>
          <w:bCs/>
          <w:color w:val="1F3864" w:themeColor="accent1" w:themeShade="80"/>
          <w:sz w:val="22"/>
          <w:szCs w:val="22"/>
        </w:rPr>
        <w:t>foundational treaties and binding secondary law</w:t>
      </w:r>
      <w:r w:rsidRPr="00101B62">
        <w:rPr>
          <w:rFonts w:asciiTheme="minorHAnsi" w:hAnsiTheme="minorHAnsi" w:cstheme="minorHAnsi"/>
          <w:color w:val="1F3864" w:themeColor="accent1" w:themeShade="80"/>
          <w:sz w:val="22"/>
          <w:szCs w:val="22"/>
        </w:rPr>
        <w:t xml:space="preserve"> through </w:t>
      </w:r>
      <w:r w:rsidRPr="00101B62">
        <w:rPr>
          <w:rFonts w:asciiTheme="minorHAnsi" w:hAnsiTheme="minorHAnsi" w:cstheme="minorHAnsi"/>
          <w:b/>
          <w:bCs/>
          <w:color w:val="1F3864" w:themeColor="accent1" w:themeShade="80"/>
          <w:sz w:val="22"/>
          <w:szCs w:val="22"/>
        </w:rPr>
        <w:t>customary norms, delegated powers, and bilateral arrangements</w:t>
      </w:r>
      <w:r w:rsidRPr="00101B62">
        <w:rPr>
          <w:rFonts w:asciiTheme="minorHAnsi" w:hAnsiTheme="minorHAnsi" w:cstheme="minorHAnsi"/>
          <w:color w:val="1F3864" w:themeColor="accent1" w:themeShade="80"/>
          <w:sz w:val="22"/>
          <w:szCs w:val="22"/>
        </w:rPr>
        <w:t xml:space="preserve"> — it captures the layered legal and normative bases </w:t>
      </w:r>
      <w:r w:rsidRPr="00101B62">
        <w:rPr>
          <w:rFonts w:asciiTheme="minorHAnsi" w:hAnsiTheme="minorHAnsi" w:cstheme="minorHAnsi"/>
          <w:color w:val="1F3864" w:themeColor="accent1" w:themeShade="80"/>
          <w:sz w:val="22"/>
          <w:szCs w:val="22"/>
        </w:rPr>
        <w:lastRenderedPageBreak/>
        <w:t>through which IGOs exercise jurisdiction. This multidimensional approach makes it possible to analyse how formal legality interacts with soft law, political agreements, and technical norms to influence mandate interpretation, scope expansion, and enforcement capacity, as well as to identify potential impediments such as ambiguity, fragmentation, or political resistance.</w:t>
      </w:r>
    </w:p>
    <w:p w14:paraId="48482968" w14:textId="573DE92C" w:rsidR="00633E7B" w:rsidRPr="00633E7B" w:rsidRDefault="00633E7B" w:rsidP="00633E7B">
      <w:pPr>
        <w:rPr>
          <w:rFonts w:asciiTheme="minorHAnsi" w:hAnsiTheme="minorHAnsi" w:cstheme="minorHAnsi"/>
          <w:color w:val="1F3864" w:themeColor="accent1" w:themeShade="80"/>
          <w:sz w:val="22"/>
          <w:szCs w:val="22"/>
        </w:rPr>
      </w:pPr>
    </w:p>
    <w:p w14:paraId="61E4E647" w14:textId="538127D4" w:rsidR="0006741B" w:rsidRDefault="0006741B" w:rsidP="0006741B">
      <w:pPr>
        <w:rPr>
          <w:rFonts w:asciiTheme="minorHAnsi" w:hAnsiTheme="minorHAnsi" w:cstheme="minorHAnsi"/>
          <w:b/>
          <w:bCs/>
          <w:color w:val="1F3864" w:themeColor="accent1" w:themeShade="80"/>
          <w:sz w:val="22"/>
          <w:szCs w:val="22"/>
        </w:rPr>
      </w:pPr>
      <w:r w:rsidRPr="0006741B">
        <w:rPr>
          <w:rFonts w:asciiTheme="minorHAnsi" w:hAnsiTheme="minorHAnsi" w:cstheme="minorHAnsi"/>
          <w:b/>
          <w:bCs/>
          <w:color w:val="1F3864" w:themeColor="accent1" w:themeShade="80"/>
          <w:sz w:val="22"/>
          <w:szCs w:val="22"/>
        </w:rPr>
        <w:t>Comprehensive Table: Sources of Jurisdiction for IGOs in Ocean Economy Governance (with Integrated &amp; Linked References)</w:t>
      </w:r>
    </w:p>
    <w:p w14:paraId="2F7F3390" w14:textId="77777777" w:rsidR="00375DAC" w:rsidRDefault="00375DAC" w:rsidP="0006741B">
      <w:pPr>
        <w:rPr>
          <w:rFonts w:asciiTheme="minorHAnsi" w:hAnsiTheme="minorHAnsi" w:cstheme="minorHAnsi"/>
          <w:b/>
          <w:bCs/>
          <w:color w:val="1F3864" w:themeColor="accent1" w:themeShade="80"/>
          <w:sz w:val="22"/>
          <w:szCs w:val="22"/>
        </w:rPr>
      </w:pPr>
    </w:p>
    <w:p w14:paraId="6F70B13F" w14:textId="56F642E6" w:rsidR="00375DAC" w:rsidRPr="00375DAC" w:rsidRDefault="00375DAC" w:rsidP="00375DAC">
      <w:pPr>
        <w:rPr>
          <w:rFonts w:asciiTheme="minorHAnsi" w:hAnsiTheme="minorHAnsi" w:cstheme="minorHAnsi"/>
          <w:b/>
          <w:bCs/>
          <w:color w:val="1F3864" w:themeColor="accent1" w:themeShade="80"/>
          <w:sz w:val="22"/>
          <w:szCs w:val="22"/>
        </w:rPr>
      </w:pPr>
    </w:p>
    <w:p w14:paraId="514CA044" w14:textId="77777777" w:rsidR="00375DAC" w:rsidRPr="00375DAC" w:rsidRDefault="00375DAC" w:rsidP="00375DAC">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Sources Jurisdiction — IGOs in Global Ocean Economy Governance</w:t>
      </w:r>
    </w:p>
    <w:tbl>
      <w:tblPr>
        <w:tblStyle w:val="TableGrid"/>
        <w:tblW w:w="12108" w:type="dxa"/>
        <w:tblInd w:w="-714" w:type="dxa"/>
        <w:tblLook w:val="04A0" w:firstRow="1" w:lastRow="0" w:firstColumn="1" w:lastColumn="0" w:noHBand="0" w:noVBand="1"/>
      </w:tblPr>
      <w:tblGrid>
        <w:gridCol w:w="1492"/>
        <w:gridCol w:w="1816"/>
        <w:gridCol w:w="1906"/>
        <w:gridCol w:w="1949"/>
        <w:gridCol w:w="1701"/>
        <w:gridCol w:w="1709"/>
        <w:gridCol w:w="1535"/>
      </w:tblGrid>
      <w:tr w:rsidR="00101B62" w:rsidRPr="00375DAC" w14:paraId="7F47A6E6" w14:textId="77777777" w:rsidTr="00101B62">
        <w:tc>
          <w:tcPr>
            <w:tcW w:w="1492" w:type="dxa"/>
            <w:hideMark/>
          </w:tcPr>
          <w:p w14:paraId="03AD3D94" w14:textId="77777777" w:rsidR="00101B62" w:rsidRPr="00375DAC" w:rsidRDefault="00101B62" w:rsidP="00101B62">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Meta Category</w:t>
            </w:r>
          </w:p>
        </w:tc>
        <w:tc>
          <w:tcPr>
            <w:tcW w:w="1816" w:type="dxa"/>
            <w:hideMark/>
          </w:tcPr>
          <w:p w14:paraId="28200752" w14:textId="77777777" w:rsidR="00101B62" w:rsidRPr="00375DAC" w:rsidRDefault="00101B62" w:rsidP="00101B62">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Key Sources</w:t>
            </w:r>
          </w:p>
        </w:tc>
        <w:tc>
          <w:tcPr>
            <w:tcW w:w="1906" w:type="dxa"/>
            <w:hideMark/>
          </w:tcPr>
          <w:p w14:paraId="6FC5A33D" w14:textId="77777777" w:rsidR="00101B62" w:rsidRPr="00375DAC" w:rsidRDefault="00101B62" w:rsidP="00101B62">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What the Literature Says (Justification)</w:t>
            </w:r>
          </w:p>
        </w:tc>
        <w:tc>
          <w:tcPr>
            <w:tcW w:w="1949" w:type="dxa"/>
          </w:tcPr>
          <w:p w14:paraId="22EA8465" w14:textId="630E44D5" w:rsidR="00101B62" w:rsidRPr="00375DAC" w:rsidRDefault="00101B62" w:rsidP="00101B62">
            <w:pPr>
              <w:rPr>
                <w:rFonts w:asciiTheme="minorHAnsi" w:hAnsiTheme="minorHAnsi" w:cstheme="minorHAnsi"/>
                <w:b/>
                <w:bCs/>
                <w:color w:val="1F3864" w:themeColor="accent1" w:themeShade="80"/>
                <w:sz w:val="22"/>
                <w:szCs w:val="22"/>
              </w:rPr>
            </w:pPr>
            <w:r w:rsidRPr="0006741B">
              <w:rPr>
                <w:rFonts w:asciiTheme="minorHAnsi" w:hAnsiTheme="minorHAnsi" w:cstheme="minorHAnsi"/>
                <w:color w:val="1F3864" w:themeColor="accent1" w:themeShade="80"/>
                <w:sz w:val="22"/>
                <w:szCs w:val="22"/>
              </w:rPr>
              <w:t>Instruments / Sources</w:t>
            </w:r>
          </w:p>
        </w:tc>
        <w:tc>
          <w:tcPr>
            <w:tcW w:w="1701" w:type="dxa"/>
          </w:tcPr>
          <w:p w14:paraId="2B74A130" w14:textId="2FD53385" w:rsidR="00101B62" w:rsidRPr="00375DAC" w:rsidRDefault="00101B62" w:rsidP="00101B62">
            <w:pPr>
              <w:rPr>
                <w:rFonts w:asciiTheme="minorHAnsi" w:hAnsiTheme="minorHAnsi" w:cstheme="minorHAnsi"/>
                <w:b/>
                <w:bCs/>
                <w:color w:val="1F3864" w:themeColor="accent1" w:themeShade="80"/>
                <w:sz w:val="22"/>
                <w:szCs w:val="22"/>
              </w:rPr>
            </w:pPr>
            <w:r w:rsidRPr="0006741B">
              <w:rPr>
                <w:rFonts w:asciiTheme="minorHAnsi" w:hAnsiTheme="minorHAnsi" w:cstheme="minorHAnsi"/>
                <w:color w:val="1F3864" w:themeColor="accent1" w:themeShade="80"/>
                <w:sz w:val="22"/>
                <w:szCs w:val="22"/>
              </w:rPr>
              <w:t>Rationale for Categorization</w:t>
            </w:r>
          </w:p>
        </w:tc>
        <w:tc>
          <w:tcPr>
            <w:tcW w:w="1709" w:type="dxa"/>
          </w:tcPr>
          <w:p w14:paraId="2380D12E" w14:textId="032F475E" w:rsidR="00101B62" w:rsidRPr="00375DAC" w:rsidRDefault="00101B62" w:rsidP="00101B62">
            <w:pPr>
              <w:rPr>
                <w:rFonts w:asciiTheme="minorHAnsi" w:hAnsiTheme="minorHAnsi" w:cstheme="minorHAnsi"/>
                <w:b/>
                <w:bCs/>
                <w:color w:val="1F3864" w:themeColor="accent1" w:themeShade="80"/>
                <w:sz w:val="22"/>
                <w:szCs w:val="22"/>
              </w:rPr>
            </w:pPr>
            <w:r w:rsidRPr="0006741B">
              <w:rPr>
                <w:rFonts w:asciiTheme="minorHAnsi" w:hAnsiTheme="minorHAnsi" w:cstheme="minorHAnsi"/>
                <w:color w:val="1F3864" w:themeColor="accent1" w:themeShade="80"/>
                <w:sz w:val="22"/>
                <w:szCs w:val="22"/>
              </w:rPr>
              <w:t>Potential Impediments to Jurisdiction</w:t>
            </w:r>
          </w:p>
        </w:tc>
        <w:tc>
          <w:tcPr>
            <w:tcW w:w="1535" w:type="dxa"/>
            <w:hideMark/>
          </w:tcPr>
          <w:p w14:paraId="0C143BD2" w14:textId="6F51784B" w:rsidR="00101B62" w:rsidRPr="00375DAC" w:rsidRDefault="00101B62" w:rsidP="00101B62">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Historical / Political Context</w:t>
            </w:r>
          </w:p>
        </w:tc>
      </w:tr>
      <w:tr w:rsidR="00101B62" w:rsidRPr="00375DAC" w14:paraId="7C82ED30" w14:textId="77777777" w:rsidTr="00101B62">
        <w:tc>
          <w:tcPr>
            <w:tcW w:w="1492" w:type="dxa"/>
            <w:hideMark/>
          </w:tcPr>
          <w:p w14:paraId="7ADACDEC"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Foundational Treaties &amp; Charters</w:t>
            </w:r>
          </w:p>
        </w:tc>
        <w:tc>
          <w:tcPr>
            <w:tcW w:w="1816" w:type="dxa"/>
            <w:hideMark/>
          </w:tcPr>
          <w:p w14:paraId="371AC70E" w14:textId="77777777" w:rsidR="00101B62" w:rsidRPr="00375DAC" w:rsidRDefault="00101B62" w:rsidP="00101B62">
            <w:pPr>
              <w:rPr>
                <w:rFonts w:asciiTheme="minorHAnsi" w:hAnsiTheme="minorHAnsi" w:cstheme="minorHAnsi"/>
                <w:color w:val="1F3864" w:themeColor="accent1" w:themeShade="80"/>
                <w:sz w:val="22"/>
                <w:szCs w:val="22"/>
              </w:rPr>
            </w:pPr>
            <w:hyperlink r:id="rId54" w:history="1">
              <w:proofErr w:type="spellStart"/>
              <w:r w:rsidRPr="00375DAC">
                <w:rPr>
                  <w:rStyle w:val="Hyperlink"/>
                  <w:rFonts w:asciiTheme="minorHAnsi" w:hAnsiTheme="minorHAnsi" w:cstheme="minorHAnsi"/>
                  <w:color w:val="023160" w:themeColor="hyperlink" w:themeShade="80"/>
                  <w:sz w:val="22"/>
                  <w:szCs w:val="22"/>
                </w:rPr>
                <w:t>Klabbers</w:t>
              </w:r>
              <w:proofErr w:type="spellEnd"/>
              <w:r w:rsidRPr="00375DAC">
                <w:rPr>
                  <w:rStyle w:val="Hyperlink"/>
                  <w:rFonts w:asciiTheme="minorHAnsi" w:hAnsiTheme="minorHAnsi" w:cstheme="minorHAnsi"/>
                  <w:color w:val="023160" w:themeColor="hyperlink" w:themeShade="80"/>
                  <w:sz w:val="22"/>
                  <w:szCs w:val="22"/>
                </w:rPr>
                <w:t> (2015)</w:t>
              </w:r>
            </w:hyperlink>
            <w:r w:rsidRPr="00375DAC">
              <w:rPr>
                <w:rFonts w:asciiTheme="minorHAnsi" w:hAnsiTheme="minorHAnsi" w:cstheme="minorHAnsi"/>
                <w:color w:val="1F3864" w:themeColor="accent1" w:themeShade="80"/>
                <w:sz w:val="22"/>
                <w:szCs w:val="22"/>
              </w:rPr>
              <w:t xml:space="preserve">; </w:t>
            </w:r>
            <w:hyperlink r:id="rId55" w:history="1">
              <w:r w:rsidRPr="00375DAC">
                <w:rPr>
                  <w:rStyle w:val="Hyperlink"/>
                  <w:rFonts w:asciiTheme="minorHAnsi" w:hAnsiTheme="minorHAnsi" w:cstheme="minorHAnsi"/>
                  <w:color w:val="023160" w:themeColor="hyperlink" w:themeShade="80"/>
                  <w:sz w:val="22"/>
                  <w:szCs w:val="22"/>
                </w:rPr>
                <w:t>Alvarez (2005)</w:t>
              </w:r>
            </w:hyperlink>
            <w:r w:rsidRPr="00375DAC">
              <w:rPr>
                <w:rFonts w:asciiTheme="minorHAnsi" w:hAnsiTheme="minorHAnsi" w:cstheme="minorHAnsi"/>
                <w:color w:val="1F3864" w:themeColor="accent1" w:themeShade="80"/>
                <w:sz w:val="22"/>
                <w:szCs w:val="22"/>
              </w:rPr>
              <w:t xml:space="preserve">; </w:t>
            </w:r>
            <w:hyperlink r:id="rId56" w:history="1">
              <w:r w:rsidRPr="00375DAC">
                <w:rPr>
                  <w:rStyle w:val="Hyperlink"/>
                  <w:rFonts w:asciiTheme="minorHAnsi" w:hAnsiTheme="minorHAnsi" w:cstheme="minorHAnsi"/>
                  <w:color w:val="023160" w:themeColor="hyperlink" w:themeShade="80"/>
                  <w:sz w:val="22"/>
                  <w:szCs w:val="22"/>
                </w:rPr>
                <w:t>OPIL</w:t>
              </w:r>
            </w:hyperlink>
          </w:p>
        </w:tc>
        <w:tc>
          <w:tcPr>
            <w:tcW w:w="1906" w:type="dxa"/>
            <w:hideMark/>
          </w:tcPr>
          <w:p w14:paraId="1953225B" w14:textId="77777777" w:rsidR="00101B62" w:rsidRPr="00375DAC" w:rsidRDefault="00101B62" w:rsidP="00101B62">
            <w:pPr>
              <w:rPr>
                <w:rFonts w:asciiTheme="minorHAnsi" w:hAnsiTheme="minorHAnsi" w:cstheme="minorHAnsi"/>
                <w:color w:val="1F3864" w:themeColor="accent1" w:themeShade="80"/>
                <w:sz w:val="22"/>
                <w:szCs w:val="22"/>
              </w:rPr>
            </w:pPr>
            <w:proofErr w:type="spellStart"/>
            <w:r w:rsidRPr="00375DAC">
              <w:rPr>
                <w:rFonts w:asciiTheme="minorHAnsi" w:hAnsiTheme="minorHAnsi" w:cstheme="minorHAnsi"/>
                <w:color w:val="1F3864" w:themeColor="accent1" w:themeShade="80"/>
                <w:sz w:val="22"/>
                <w:szCs w:val="22"/>
              </w:rPr>
              <w:t>Klabbers</w:t>
            </w:r>
            <w:proofErr w:type="spellEnd"/>
            <w:r w:rsidRPr="00375DAC">
              <w:rPr>
                <w:rFonts w:asciiTheme="minorHAnsi" w:hAnsiTheme="minorHAnsi" w:cstheme="minorHAnsi"/>
                <w:color w:val="1F3864" w:themeColor="accent1" w:themeShade="80"/>
                <w:sz w:val="22"/>
                <w:szCs w:val="22"/>
              </w:rPr>
              <w:t> (2015) and Alvarez (2005) emphasise that constitutive instruments define the legal personality, mandate, and jurisdictional scope of IGOs, functioning as their legal DNA. OPIL provides detailed treaty exemplars across regimes.</w:t>
            </w:r>
          </w:p>
        </w:tc>
        <w:tc>
          <w:tcPr>
            <w:tcW w:w="1949" w:type="dxa"/>
          </w:tcPr>
          <w:p w14:paraId="24D66841" w14:textId="7CD7AEC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Treaties, Charters, Constitutions, Conventions</w:t>
            </w:r>
          </w:p>
        </w:tc>
        <w:tc>
          <w:tcPr>
            <w:tcW w:w="1701" w:type="dxa"/>
          </w:tcPr>
          <w:p w14:paraId="42208C99" w14:textId="47D19047"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texts are the legal DNA of IGOs, establishing their existence and core jurisdiction.</w:t>
            </w:r>
          </w:p>
        </w:tc>
        <w:tc>
          <w:tcPr>
            <w:tcW w:w="1709" w:type="dxa"/>
          </w:tcPr>
          <w:p w14:paraId="45B17766" w14:textId="4D98D74D"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Ambiguities in treaty language or lack of clarity in mandate may restrict expansive interpretation.</w:t>
            </w:r>
          </w:p>
        </w:tc>
        <w:tc>
          <w:tcPr>
            <w:tcW w:w="1535" w:type="dxa"/>
            <w:hideMark/>
          </w:tcPr>
          <w:p w14:paraId="2559AE5D" w14:textId="1FE595D3"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Founding legal texts formalise institutional existence; ambiguities in wording can constrain jurisdictional reach and interpretation.</w:t>
            </w:r>
          </w:p>
        </w:tc>
      </w:tr>
      <w:tr w:rsidR="00101B62" w:rsidRPr="00375DAC" w14:paraId="22D7D126" w14:textId="77777777" w:rsidTr="00101B62">
        <w:tc>
          <w:tcPr>
            <w:tcW w:w="1492" w:type="dxa"/>
            <w:hideMark/>
          </w:tcPr>
          <w:p w14:paraId="45D24E9C"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Binding Secondary Law</w:t>
            </w:r>
          </w:p>
        </w:tc>
        <w:tc>
          <w:tcPr>
            <w:tcW w:w="1816" w:type="dxa"/>
            <w:hideMark/>
          </w:tcPr>
          <w:p w14:paraId="301EA066" w14:textId="77777777" w:rsidR="00101B62" w:rsidRPr="00375DAC" w:rsidRDefault="00101B62" w:rsidP="00101B62">
            <w:pPr>
              <w:rPr>
                <w:rFonts w:asciiTheme="minorHAnsi" w:hAnsiTheme="minorHAnsi" w:cstheme="minorHAnsi"/>
                <w:color w:val="1F3864" w:themeColor="accent1" w:themeShade="80"/>
                <w:sz w:val="22"/>
                <w:szCs w:val="22"/>
              </w:rPr>
            </w:pPr>
            <w:hyperlink r:id="rId57" w:history="1">
              <w:r w:rsidRPr="00375DAC">
                <w:rPr>
                  <w:rStyle w:val="Hyperlink"/>
                  <w:rFonts w:asciiTheme="minorHAnsi" w:hAnsiTheme="minorHAnsi" w:cstheme="minorHAnsi"/>
                  <w:color w:val="023160" w:themeColor="hyperlink" w:themeShade="80"/>
                  <w:sz w:val="22"/>
                  <w:szCs w:val="22"/>
                </w:rPr>
                <w:t xml:space="preserve">Boyle &amp; </w:t>
              </w:r>
              <w:proofErr w:type="spellStart"/>
              <w:r w:rsidRPr="00375DAC">
                <w:rPr>
                  <w:rStyle w:val="Hyperlink"/>
                  <w:rFonts w:asciiTheme="minorHAnsi" w:hAnsiTheme="minorHAnsi" w:cstheme="minorHAnsi"/>
                  <w:color w:val="023160" w:themeColor="hyperlink" w:themeShade="80"/>
                  <w:sz w:val="22"/>
                  <w:szCs w:val="22"/>
                </w:rPr>
                <w:t>Chinkin</w:t>
              </w:r>
              <w:proofErr w:type="spellEnd"/>
              <w:r w:rsidRPr="00375DAC">
                <w:rPr>
                  <w:rStyle w:val="Hyperlink"/>
                  <w:rFonts w:asciiTheme="minorHAnsi" w:hAnsiTheme="minorHAnsi" w:cstheme="minorHAnsi"/>
                  <w:color w:val="023160" w:themeColor="hyperlink" w:themeShade="80"/>
                  <w:sz w:val="22"/>
                  <w:szCs w:val="22"/>
                </w:rPr>
                <w:t> (2007)</w:t>
              </w:r>
            </w:hyperlink>
            <w:r w:rsidRPr="00375DAC">
              <w:rPr>
                <w:rFonts w:asciiTheme="minorHAnsi" w:hAnsiTheme="minorHAnsi" w:cstheme="minorHAnsi"/>
                <w:color w:val="1F3864" w:themeColor="accent1" w:themeShade="80"/>
                <w:sz w:val="22"/>
                <w:szCs w:val="22"/>
              </w:rPr>
              <w:t xml:space="preserve">; </w:t>
            </w:r>
            <w:hyperlink r:id="rId58" w:history="1">
              <w:proofErr w:type="spellStart"/>
              <w:r w:rsidRPr="00375DAC">
                <w:rPr>
                  <w:rStyle w:val="Hyperlink"/>
                  <w:rFonts w:asciiTheme="minorHAnsi" w:hAnsiTheme="minorHAnsi" w:cstheme="minorHAnsi"/>
                  <w:color w:val="023160" w:themeColor="hyperlink" w:themeShade="80"/>
                  <w:sz w:val="22"/>
                  <w:szCs w:val="22"/>
                </w:rPr>
                <w:t>Schermers</w:t>
              </w:r>
              <w:proofErr w:type="spellEnd"/>
              <w:r w:rsidRPr="00375DAC">
                <w:rPr>
                  <w:rStyle w:val="Hyperlink"/>
                  <w:rFonts w:asciiTheme="minorHAnsi" w:hAnsiTheme="minorHAnsi" w:cstheme="minorHAnsi"/>
                  <w:color w:val="023160" w:themeColor="hyperlink" w:themeShade="80"/>
                  <w:sz w:val="22"/>
                  <w:szCs w:val="22"/>
                </w:rPr>
                <w:t xml:space="preserve"> &amp; </w:t>
              </w:r>
              <w:proofErr w:type="spellStart"/>
              <w:r w:rsidRPr="00375DAC">
                <w:rPr>
                  <w:rStyle w:val="Hyperlink"/>
                  <w:rFonts w:asciiTheme="minorHAnsi" w:hAnsiTheme="minorHAnsi" w:cstheme="minorHAnsi"/>
                  <w:color w:val="023160" w:themeColor="hyperlink" w:themeShade="80"/>
                  <w:sz w:val="22"/>
                  <w:szCs w:val="22"/>
                </w:rPr>
                <w:t>Blokker</w:t>
              </w:r>
              <w:proofErr w:type="spellEnd"/>
              <w:r w:rsidRPr="00375DAC">
                <w:rPr>
                  <w:rStyle w:val="Hyperlink"/>
                  <w:rFonts w:asciiTheme="minorHAnsi" w:hAnsiTheme="minorHAnsi" w:cstheme="minorHAnsi"/>
                  <w:color w:val="023160" w:themeColor="hyperlink" w:themeShade="80"/>
                  <w:sz w:val="22"/>
                  <w:szCs w:val="22"/>
                </w:rPr>
                <w:t> (2011)</w:t>
              </w:r>
            </w:hyperlink>
            <w:r w:rsidRPr="00375DAC">
              <w:rPr>
                <w:rFonts w:asciiTheme="minorHAnsi" w:hAnsiTheme="minorHAnsi" w:cstheme="minorHAnsi"/>
                <w:color w:val="1F3864" w:themeColor="accent1" w:themeShade="80"/>
                <w:sz w:val="22"/>
                <w:szCs w:val="22"/>
              </w:rPr>
              <w:t xml:space="preserve">; </w:t>
            </w:r>
            <w:hyperlink r:id="rId59" w:history="1">
              <w:r w:rsidRPr="00375DAC">
                <w:rPr>
                  <w:rStyle w:val="Hyperlink"/>
                  <w:rFonts w:asciiTheme="minorHAnsi" w:hAnsiTheme="minorHAnsi" w:cstheme="minorHAnsi"/>
                  <w:color w:val="023160" w:themeColor="hyperlink" w:themeShade="80"/>
                  <w:sz w:val="22"/>
                  <w:szCs w:val="22"/>
                </w:rPr>
                <w:t>Kingsbury (2009)</w:t>
              </w:r>
            </w:hyperlink>
          </w:p>
        </w:tc>
        <w:tc>
          <w:tcPr>
            <w:tcW w:w="1906" w:type="dxa"/>
            <w:hideMark/>
          </w:tcPr>
          <w:p w14:paraId="21FC27D9"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These authors show that regulations, directives, and decisions derive binding force from foundational treaties, enabling IGOs to operationalise mandates with legal authority.</w:t>
            </w:r>
          </w:p>
        </w:tc>
        <w:tc>
          <w:tcPr>
            <w:tcW w:w="1949" w:type="dxa"/>
          </w:tcPr>
          <w:p w14:paraId="17C0A626" w14:textId="7959C204"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Regulations, Directives, Decisions</w:t>
            </w:r>
          </w:p>
        </w:tc>
        <w:tc>
          <w:tcPr>
            <w:tcW w:w="1701" w:type="dxa"/>
          </w:tcPr>
          <w:p w14:paraId="2B03B544" w14:textId="7B8877D7"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instruments operationalize treaty provisions, enabling IGOs to act with legal force.</w:t>
            </w:r>
          </w:p>
        </w:tc>
        <w:tc>
          <w:tcPr>
            <w:tcW w:w="1709" w:type="dxa"/>
          </w:tcPr>
          <w:p w14:paraId="2873E28E" w14:textId="3D6A6F43"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Enforcement depends on member compliance; legal challenges may arise over scope or legitimacy.</w:t>
            </w:r>
          </w:p>
        </w:tc>
        <w:tc>
          <w:tcPr>
            <w:tcW w:w="1535" w:type="dxa"/>
            <w:hideMark/>
          </w:tcPr>
          <w:p w14:paraId="61916B8C" w14:textId="443E634A"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Secondary law transforms treaty principles into enforceable obligations, though enforcement depends on state compliance and may face legal challenge.</w:t>
            </w:r>
          </w:p>
        </w:tc>
      </w:tr>
      <w:tr w:rsidR="00101B62" w:rsidRPr="00375DAC" w14:paraId="42AB7BF3" w14:textId="77777777" w:rsidTr="00101B62">
        <w:tc>
          <w:tcPr>
            <w:tcW w:w="1492" w:type="dxa"/>
            <w:hideMark/>
          </w:tcPr>
          <w:p w14:paraId="4C7F58E0"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Non</w:t>
            </w:r>
            <w:r w:rsidRPr="00375DAC">
              <w:rPr>
                <w:rFonts w:asciiTheme="minorHAnsi" w:hAnsiTheme="minorHAnsi" w:cstheme="minorHAnsi"/>
                <w:color w:val="1F3864" w:themeColor="accent1" w:themeShade="80"/>
                <w:sz w:val="22"/>
                <w:szCs w:val="22"/>
              </w:rPr>
              <w:noBreakHyphen/>
              <w:t>binding Secondary Law</w:t>
            </w:r>
          </w:p>
        </w:tc>
        <w:tc>
          <w:tcPr>
            <w:tcW w:w="1816" w:type="dxa"/>
            <w:hideMark/>
          </w:tcPr>
          <w:p w14:paraId="4C815A72" w14:textId="77777777" w:rsidR="00101B62" w:rsidRPr="00375DAC" w:rsidRDefault="00101B62" w:rsidP="00101B62">
            <w:pPr>
              <w:rPr>
                <w:rFonts w:asciiTheme="minorHAnsi" w:hAnsiTheme="minorHAnsi" w:cstheme="minorHAnsi"/>
                <w:color w:val="1F3864" w:themeColor="accent1" w:themeShade="80"/>
                <w:sz w:val="22"/>
                <w:szCs w:val="22"/>
              </w:rPr>
            </w:pPr>
            <w:hyperlink r:id="rId60" w:history="1">
              <w:r w:rsidRPr="00375DAC">
                <w:rPr>
                  <w:rStyle w:val="Hyperlink"/>
                  <w:rFonts w:asciiTheme="minorHAnsi" w:hAnsiTheme="minorHAnsi" w:cstheme="minorHAnsi"/>
                  <w:color w:val="023160" w:themeColor="hyperlink" w:themeShade="80"/>
                  <w:sz w:val="22"/>
                  <w:szCs w:val="22"/>
                </w:rPr>
                <w:t>Shelton (2000)</w:t>
              </w:r>
            </w:hyperlink>
            <w:r w:rsidRPr="00375DAC">
              <w:rPr>
                <w:rFonts w:asciiTheme="minorHAnsi" w:hAnsiTheme="minorHAnsi" w:cstheme="minorHAnsi"/>
                <w:color w:val="1F3864" w:themeColor="accent1" w:themeShade="80"/>
                <w:sz w:val="22"/>
                <w:szCs w:val="22"/>
              </w:rPr>
              <w:t xml:space="preserve">; </w:t>
            </w:r>
            <w:hyperlink r:id="rId61" w:history="1">
              <w:r w:rsidRPr="00375DAC">
                <w:rPr>
                  <w:rStyle w:val="Hyperlink"/>
                  <w:rFonts w:asciiTheme="minorHAnsi" w:hAnsiTheme="minorHAnsi" w:cstheme="minorHAnsi"/>
                  <w:color w:val="023160" w:themeColor="hyperlink" w:themeShade="80"/>
                  <w:sz w:val="22"/>
                  <w:szCs w:val="22"/>
                </w:rPr>
                <w:t>Abbott &amp; Snidal (2000)</w:t>
              </w:r>
            </w:hyperlink>
          </w:p>
        </w:tc>
        <w:tc>
          <w:tcPr>
            <w:tcW w:w="1906" w:type="dxa"/>
            <w:hideMark/>
          </w:tcPr>
          <w:p w14:paraId="1977B5C9"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Shelton (2000) and Abbott &amp; Snidal (2000) explain that resolutions and recommendations, though formally non</w:t>
            </w:r>
            <w:r w:rsidRPr="00375DAC">
              <w:rPr>
                <w:rFonts w:asciiTheme="minorHAnsi" w:hAnsiTheme="minorHAnsi" w:cstheme="minorHAnsi"/>
                <w:color w:val="1F3864" w:themeColor="accent1" w:themeShade="80"/>
                <w:sz w:val="22"/>
                <w:szCs w:val="22"/>
              </w:rPr>
              <w:noBreakHyphen/>
              <w:t xml:space="preserve">binding, </w:t>
            </w:r>
            <w:r w:rsidRPr="00375DAC">
              <w:rPr>
                <w:rFonts w:asciiTheme="minorHAnsi" w:hAnsiTheme="minorHAnsi" w:cstheme="minorHAnsi"/>
                <w:color w:val="1F3864" w:themeColor="accent1" w:themeShade="80"/>
                <w:sz w:val="22"/>
                <w:szCs w:val="22"/>
              </w:rPr>
              <w:lastRenderedPageBreak/>
              <w:t>influence state practice and norm formation.</w:t>
            </w:r>
          </w:p>
        </w:tc>
        <w:tc>
          <w:tcPr>
            <w:tcW w:w="1949" w:type="dxa"/>
          </w:tcPr>
          <w:p w14:paraId="68550EA7" w14:textId="037501AD"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lastRenderedPageBreak/>
              <w:t>Resolutions, Recommendations, Declarations</w:t>
            </w:r>
          </w:p>
        </w:tc>
        <w:tc>
          <w:tcPr>
            <w:tcW w:w="1701" w:type="dxa"/>
          </w:tcPr>
          <w:p w14:paraId="67EE8E8D" w14:textId="373B366E"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Though not binding, they influence state practice and institutional legitimacy.</w:t>
            </w:r>
          </w:p>
        </w:tc>
        <w:tc>
          <w:tcPr>
            <w:tcW w:w="1709" w:type="dxa"/>
          </w:tcPr>
          <w:p w14:paraId="71F587AB" w14:textId="75A3F2A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Lack of enforceability may weaken authority or lead to selective adherence.</w:t>
            </w:r>
          </w:p>
        </w:tc>
        <w:tc>
          <w:tcPr>
            <w:tcW w:w="1535" w:type="dxa"/>
            <w:hideMark/>
          </w:tcPr>
          <w:p w14:paraId="2085A8DA" w14:textId="00C71ECE"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 xml:space="preserve">Soft political commitments shape legitimacy and expectations, but lack of enforceability </w:t>
            </w:r>
            <w:r w:rsidRPr="00375DAC">
              <w:rPr>
                <w:rFonts w:asciiTheme="minorHAnsi" w:hAnsiTheme="minorHAnsi" w:cstheme="minorHAnsi"/>
                <w:color w:val="1F3864" w:themeColor="accent1" w:themeShade="80"/>
                <w:sz w:val="22"/>
                <w:szCs w:val="22"/>
              </w:rPr>
              <w:lastRenderedPageBreak/>
              <w:t>risks selective adherence.</w:t>
            </w:r>
          </w:p>
        </w:tc>
      </w:tr>
      <w:tr w:rsidR="00101B62" w:rsidRPr="00375DAC" w14:paraId="3BCA8BAB" w14:textId="77777777" w:rsidTr="00101B62">
        <w:tc>
          <w:tcPr>
            <w:tcW w:w="1492" w:type="dxa"/>
            <w:hideMark/>
          </w:tcPr>
          <w:p w14:paraId="47BF016D"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lastRenderedPageBreak/>
              <w:t>Technical Norms &amp; Standards</w:t>
            </w:r>
          </w:p>
        </w:tc>
        <w:tc>
          <w:tcPr>
            <w:tcW w:w="1816" w:type="dxa"/>
            <w:hideMark/>
          </w:tcPr>
          <w:p w14:paraId="05A69EDF" w14:textId="77777777" w:rsidR="00101B62" w:rsidRPr="00375DAC" w:rsidRDefault="00101B62" w:rsidP="00101B62">
            <w:pPr>
              <w:rPr>
                <w:rFonts w:asciiTheme="minorHAnsi" w:hAnsiTheme="minorHAnsi" w:cstheme="minorHAnsi"/>
                <w:color w:val="1F3864" w:themeColor="accent1" w:themeShade="80"/>
                <w:sz w:val="22"/>
                <w:szCs w:val="22"/>
              </w:rPr>
            </w:pPr>
            <w:hyperlink r:id="rId62" w:history="1">
              <w:r w:rsidRPr="00375DAC">
                <w:rPr>
                  <w:rStyle w:val="Hyperlink"/>
                  <w:rFonts w:asciiTheme="minorHAnsi" w:hAnsiTheme="minorHAnsi" w:cstheme="minorHAnsi"/>
                  <w:color w:val="023160" w:themeColor="hyperlink" w:themeShade="80"/>
                  <w:sz w:val="22"/>
                  <w:szCs w:val="22"/>
                </w:rPr>
                <w:t>Abbott &amp; Snidal (2001)</w:t>
              </w:r>
            </w:hyperlink>
            <w:r w:rsidRPr="00375DAC">
              <w:rPr>
                <w:rFonts w:asciiTheme="minorHAnsi" w:hAnsiTheme="minorHAnsi" w:cstheme="minorHAnsi"/>
                <w:color w:val="1F3864" w:themeColor="accent1" w:themeShade="80"/>
                <w:sz w:val="22"/>
                <w:szCs w:val="22"/>
              </w:rPr>
              <w:t xml:space="preserve">; </w:t>
            </w:r>
            <w:hyperlink r:id="rId63" w:history="1">
              <w:proofErr w:type="spellStart"/>
              <w:r w:rsidRPr="00375DAC">
                <w:rPr>
                  <w:rStyle w:val="Hyperlink"/>
                  <w:rFonts w:asciiTheme="minorHAnsi" w:hAnsiTheme="minorHAnsi" w:cstheme="minorHAnsi"/>
                  <w:color w:val="023160" w:themeColor="hyperlink" w:themeShade="80"/>
                  <w:sz w:val="22"/>
                  <w:szCs w:val="22"/>
                </w:rPr>
                <w:t>Pauwelyn</w:t>
              </w:r>
              <w:proofErr w:type="spellEnd"/>
              <w:r w:rsidRPr="00375DAC">
                <w:rPr>
                  <w:rStyle w:val="Hyperlink"/>
                  <w:rFonts w:asciiTheme="minorHAnsi" w:hAnsiTheme="minorHAnsi" w:cstheme="minorHAnsi"/>
                  <w:color w:val="023160" w:themeColor="hyperlink" w:themeShade="80"/>
                  <w:sz w:val="22"/>
                  <w:szCs w:val="22"/>
                </w:rPr>
                <w:t xml:space="preserve"> et al. (2012)</w:t>
              </w:r>
            </w:hyperlink>
            <w:r w:rsidRPr="00375DAC">
              <w:rPr>
                <w:rFonts w:asciiTheme="minorHAnsi" w:hAnsiTheme="minorHAnsi" w:cstheme="minorHAnsi"/>
                <w:color w:val="1F3864" w:themeColor="accent1" w:themeShade="80"/>
                <w:sz w:val="22"/>
                <w:szCs w:val="22"/>
              </w:rPr>
              <w:t xml:space="preserve">; </w:t>
            </w:r>
            <w:hyperlink r:id="rId64" w:history="1">
              <w:r w:rsidRPr="00375DAC">
                <w:rPr>
                  <w:rStyle w:val="Hyperlink"/>
                  <w:rFonts w:asciiTheme="minorHAnsi" w:hAnsiTheme="minorHAnsi" w:cstheme="minorHAnsi"/>
                  <w:color w:val="023160" w:themeColor="hyperlink" w:themeShade="80"/>
                  <w:sz w:val="22"/>
                  <w:szCs w:val="22"/>
                </w:rPr>
                <w:t>Romano (2006)</w:t>
              </w:r>
            </w:hyperlink>
          </w:p>
        </w:tc>
        <w:tc>
          <w:tcPr>
            <w:tcW w:w="1906" w:type="dxa"/>
            <w:hideMark/>
          </w:tcPr>
          <w:p w14:paraId="6429968B"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Literature underscores that expert</w:t>
            </w:r>
            <w:r w:rsidRPr="00375DAC">
              <w:rPr>
                <w:rFonts w:asciiTheme="minorHAnsi" w:hAnsiTheme="minorHAnsi" w:cstheme="minorHAnsi"/>
                <w:color w:val="1F3864" w:themeColor="accent1" w:themeShade="80"/>
                <w:sz w:val="22"/>
                <w:szCs w:val="22"/>
              </w:rPr>
              <w:noBreakHyphen/>
              <w:t>driven norms (standards, guidelines) enhance uniformity, legitimacy, and procedural harmonisation across regimes.</w:t>
            </w:r>
          </w:p>
        </w:tc>
        <w:tc>
          <w:tcPr>
            <w:tcW w:w="1949" w:type="dxa"/>
          </w:tcPr>
          <w:p w14:paraId="4093DBA3" w14:textId="3ACE04D1"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Standards, Guidelines</w:t>
            </w:r>
          </w:p>
        </w:tc>
        <w:tc>
          <w:tcPr>
            <w:tcW w:w="1701" w:type="dxa"/>
          </w:tcPr>
          <w:p w14:paraId="2EE38C6E" w14:textId="2DA1B316"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norms extend jurisdiction through epistemic authority and procedural harmonization.</w:t>
            </w:r>
          </w:p>
        </w:tc>
        <w:tc>
          <w:tcPr>
            <w:tcW w:w="1709" w:type="dxa"/>
          </w:tcPr>
          <w:p w14:paraId="2B75EABD" w14:textId="2F601D8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Technical complexity or lack of consensus may hinder adoption or implementation.</w:t>
            </w:r>
          </w:p>
        </w:tc>
        <w:tc>
          <w:tcPr>
            <w:tcW w:w="1535" w:type="dxa"/>
            <w:hideMark/>
          </w:tcPr>
          <w:p w14:paraId="2A8141EB" w14:textId="7362AC39"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Epistemic authority extends IGO influence, but technical complexity or political disagreement may hinder uptake.</w:t>
            </w:r>
          </w:p>
        </w:tc>
      </w:tr>
      <w:tr w:rsidR="00101B62" w:rsidRPr="00375DAC" w14:paraId="4E7C6921" w14:textId="77777777" w:rsidTr="00101B62">
        <w:tc>
          <w:tcPr>
            <w:tcW w:w="1492" w:type="dxa"/>
            <w:hideMark/>
          </w:tcPr>
          <w:p w14:paraId="645CFAE8"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Strategic Frameworks</w:t>
            </w:r>
          </w:p>
        </w:tc>
        <w:tc>
          <w:tcPr>
            <w:tcW w:w="1816" w:type="dxa"/>
            <w:hideMark/>
          </w:tcPr>
          <w:p w14:paraId="5E1283AD" w14:textId="77777777" w:rsidR="00101B62" w:rsidRPr="00375DAC" w:rsidRDefault="00101B62" w:rsidP="00101B62">
            <w:pPr>
              <w:rPr>
                <w:rFonts w:asciiTheme="minorHAnsi" w:hAnsiTheme="minorHAnsi" w:cstheme="minorHAnsi"/>
                <w:color w:val="1F3864" w:themeColor="accent1" w:themeShade="80"/>
                <w:sz w:val="22"/>
                <w:szCs w:val="22"/>
              </w:rPr>
            </w:pPr>
            <w:hyperlink r:id="rId65" w:history="1">
              <w:r w:rsidRPr="00375DAC">
                <w:rPr>
                  <w:rStyle w:val="Hyperlink"/>
                  <w:rFonts w:asciiTheme="minorHAnsi" w:hAnsiTheme="minorHAnsi" w:cstheme="minorHAnsi"/>
                  <w:color w:val="023160" w:themeColor="hyperlink" w:themeShade="80"/>
                  <w:sz w:val="22"/>
                  <w:szCs w:val="22"/>
                </w:rPr>
                <w:t>Biermann et al. (2009)</w:t>
              </w:r>
            </w:hyperlink>
            <w:r w:rsidRPr="00375DAC">
              <w:rPr>
                <w:rFonts w:asciiTheme="minorHAnsi" w:hAnsiTheme="minorHAnsi" w:cstheme="minorHAnsi"/>
                <w:color w:val="1F3864" w:themeColor="accent1" w:themeShade="80"/>
                <w:sz w:val="22"/>
                <w:szCs w:val="22"/>
              </w:rPr>
              <w:t xml:space="preserve">; </w:t>
            </w:r>
            <w:hyperlink r:id="rId66" w:history="1">
              <w:r w:rsidRPr="00375DAC">
                <w:rPr>
                  <w:rStyle w:val="Hyperlink"/>
                  <w:rFonts w:asciiTheme="minorHAnsi" w:hAnsiTheme="minorHAnsi" w:cstheme="minorHAnsi"/>
                  <w:color w:val="023160" w:themeColor="hyperlink" w:themeShade="80"/>
                  <w:sz w:val="22"/>
                  <w:szCs w:val="22"/>
                </w:rPr>
                <w:t>Young (1999)</w:t>
              </w:r>
            </w:hyperlink>
            <w:r w:rsidRPr="00375DAC">
              <w:rPr>
                <w:rFonts w:asciiTheme="minorHAnsi" w:hAnsiTheme="minorHAnsi" w:cstheme="minorHAnsi"/>
                <w:color w:val="1F3864" w:themeColor="accent1" w:themeShade="80"/>
                <w:sz w:val="22"/>
                <w:szCs w:val="22"/>
              </w:rPr>
              <w:t xml:space="preserve">; </w:t>
            </w:r>
            <w:hyperlink r:id="rId67" w:history="1">
              <w:r w:rsidRPr="00375DAC">
                <w:rPr>
                  <w:rStyle w:val="Hyperlink"/>
                  <w:rFonts w:asciiTheme="minorHAnsi" w:hAnsiTheme="minorHAnsi" w:cstheme="minorHAnsi"/>
                  <w:color w:val="023160" w:themeColor="hyperlink" w:themeShade="80"/>
                  <w:sz w:val="22"/>
                  <w:szCs w:val="22"/>
                </w:rPr>
                <w:t>Tanaka (2015)</w:t>
              </w:r>
            </w:hyperlink>
            <w:r w:rsidRPr="00375DAC">
              <w:rPr>
                <w:rFonts w:asciiTheme="minorHAnsi" w:hAnsiTheme="minorHAnsi" w:cstheme="minorHAnsi"/>
                <w:color w:val="1F3864" w:themeColor="accent1" w:themeShade="80"/>
                <w:sz w:val="22"/>
                <w:szCs w:val="22"/>
              </w:rPr>
              <w:t xml:space="preserve">; </w:t>
            </w:r>
            <w:hyperlink r:id="rId68" w:history="1">
              <w:r w:rsidRPr="00375DAC">
                <w:rPr>
                  <w:rStyle w:val="Hyperlink"/>
                  <w:rFonts w:asciiTheme="minorHAnsi" w:hAnsiTheme="minorHAnsi" w:cstheme="minorHAnsi"/>
                  <w:color w:val="023160" w:themeColor="hyperlink" w:themeShade="80"/>
                  <w:sz w:val="22"/>
                  <w:szCs w:val="22"/>
                </w:rPr>
                <w:t>De Santo et al. (2019)</w:t>
              </w:r>
            </w:hyperlink>
          </w:p>
        </w:tc>
        <w:tc>
          <w:tcPr>
            <w:tcW w:w="1906" w:type="dxa"/>
            <w:hideMark/>
          </w:tcPr>
          <w:p w14:paraId="0752652F"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These works show how institutional strategies and policy frameworks guide long</w:t>
            </w:r>
            <w:r w:rsidRPr="00375DAC">
              <w:rPr>
                <w:rFonts w:asciiTheme="minorHAnsi" w:hAnsiTheme="minorHAnsi" w:cstheme="minorHAnsi"/>
                <w:color w:val="1F3864" w:themeColor="accent1" w:themeShade="80"/>
                <w:sz w:val="22"/>
                <w:szCs w:val="22"/>
              </w:rPr>
              <w:noBreakHyphen/>
              <w:t>term planning, align goals across regimes, and shape jurisdictional evolution.</w:t>
            </w:r>
          </w:p>
        </w:tc>
        <w:tc>
          <w:tcPr>
            <w:tcW w:w="1949" w:type="dxa"/>
          </w:tcPr>
          <w:p w14:paraId="43B59411" w14:textId="0C9B9DE5"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Policy Programmes, Institutional Strategies</w:t>
            </w:r>
          </w:p>
        </w:tc>
        <w:tc>
          <w:tcPr>
            <w:tcW w:w="1701" w:type="dxa"/>
          </w:tcPr>
          <w:p w14:paraId="1281D6A1" w14:textId="155A5370"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They serve as soft coordination tools that shape jurisdictional scope through strategic planning.</w:t>
            </w:r>
          </w:p>
        </w:tc>
        <w:tc>
          <w:tcPr>
            <w:tcW w:w="1709" w:type="dxa"/>
          </w:tcPr>
          <w:p w14:paraId="560857CC" w14:textId="453F9F6B"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Vague objectives or overlapping mandates may dilute effectiveness or create institutional friction.</w:t>
            </w:r>
          </w:p>
        </w:tc>
        <w:tc>
          <w:tcPr>
            <w:tcW w:w="1535" w:type="dxa"/>
            <w:hideMark/>
          </w:tcPr>
          <w:p w14:paraId="7F006DAC" w14:textId="65BB1B04"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Frameworks enable soft coordination and scope expansion, though vague or overlapping priorities can dilute effectiveness.</w:t>
            </w:r>
          </w:p>
        </w:tc>
      </w:tr>
      <w:tr w:rsidR="00101B62" w:rsidRPr="00375DAC" w14:paraId="3F5B9086" w14:textId="77777777" w:rsidTr="00101B62">
        <w:tc>
          <w:tcPr>
            <w:tcW w:w="1492" w:type="dxa"/>
            <w:hideMark/>
          </w:tcPr>
          <w:p w14:paraId="15D9E464"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Compliance &amp; Oversight Mechanisms</w:t>
            </w:r>
          </w:p>
        </w:tc>
        <w:tc>
          <w:tcPr>
            <w:tcW w:w="1816" w:type="dxa"/>
            <w:hideMark/>
          </w:tcPr>
          <w:p w14:paraId="631B9C27" w14:textId="77777777" w:rsidR="00101B62" w:rsidRPr="00375DAC" w:rsidRDefault="00101B62" w:rsidP="00101B62">
            <w:pPr>
              <w:rPr>
                <w:rFonts w:asciiTheme="minorHAnsi" w:hAnsiTheme="minorHAnsi" w:cstheme="minorHAnsi"/>
                <w:color w:val="1F3864" w:themeColor="accent1" w:themeShade="80"/>
                <w:sz w:val="22"/>
                <w:szCs w:val="22"/>
              </w:rPr>
            </w:pPr>
            <w:hyperlink r:id="rId69" w:history="1">
              <w:proofErr w:type="spellStart"/>
              <w:r w:rsidRPr="00375DAC">
                <w:rPr>
                  <w:rStyle w:val="Hyperlink"/>
                  <w:rFonts w:asciiTheme="minorHAnsi" w:hAnsiTheme="minorHAnsi" w:cstheme="minorHAnsi"/>
                  <w:color w:val="023160" w:themeColor="hyperlink" w:themeShade="80"/>
                  <w:sz w:val="22"/>
                  <w:szCs w:val="22"/>
                </w:rPr>
                <w:t>Raustiala</w:t>
              </w:r>
              <w:proofErr w:type="spellEnd"/>
              <w:r w:rsidRPr="00375DAC">
                <w:rPr>
                  <w:rStyle w:val="Hyperlink"/>
                  <w:rFonts w:asciiTheme="minorHAnsi" w:hAnsiTheme="minorHAnsi" w:cstheme="minorHAnsi"/>
                  <w:color w:val="023160" w:themeColor="hyperlink" w:themeShade="80"/>
                  <w:sz w:val="22"/>
                  <w:szCs w:val="22"/>
                </w:rPr>
                <w:t xml:space="preserve"> &amp; Slaughter (2002)</w:t>
              </w:r>
            </w:hyperlink>
            <w:r w:rsidRPr="00375DAC">
              <w:rPr>
                <w:rFonts w:asciiTheme="minorHAnsi" w:hAnsiTheme="minorHAnsi" w:cstheme="minorHAnsi"/>
                <w:color w:val="1F3864" w:themeColor="accent1" w:themeShade="80"/>
                <w:sz w:val="22"/>
                <w:szCs w:val="22"/>
              </w:rPr>
              <w:t xml:space="preserve">; </w:t>
            </w:r>
            <w:hyperlink r:id="rId70" w:history="1">
              <w:r w:rsidRPr="00375DAC">
                <w:rPr>
                  <w:rStyle w:val="Hyperlink"/>
                  <w:rFonts w:asciiTheme="minorHAnsi" w:hAnsiTheme="minorHAnsi" w:cstheme="minorHAnsi"/>
                  <w:color w:val="023160" w:themeColor="hyperlink" w:themeShade="80"/>
                  <w:sz w:val="22"/>
                  <w:szCs w:val="22"/>
                </w:rPr>
                <w:t>Chayes &amp; Chayes (1995)</w:t>
              </w:r>
            </w:hyperlink>
            <w:r w:rsidRPr="00375DAC">
              <w:rPr>
                <w:rFonts w:asciiTheme="minorHAnsi" w:hAnsiTheme="minorHAnsi" w:cstheme="minorHAnsi"/>
                <w:color w:val="1F3864" w:themeColor="accent1" w:themeShade="80"/>
                <w:sz w:val="22"/>
                <w:szCs w:val="22"/>
              </w:rPr>
              <w:t xml:space="preserve">; </w:t>
            </w:r>
            <w:hyperlink r:id="rId71" w:history="1">
              <w:r w:rsidRPr="00375DAC">
                <w:rPr>
                  <w:rStyle w:val="Hyperlink"/>
                  <w:rFonts w:asciiTheme="minorHAnsi" w:hAnsiTheme="minorHAnsi" w:cstheme="minorHAnsi"/>
                  <w:color w:val="023160" w:themeColor="hyperlink" w:themeShade="80"/>
                  <w:sz w:val="22"/>
                  <w:szCs w:val="22"/>
                </w:rPr>
                <w:t>Boyle (2012)</w:t>
              </w:r>
            </w:hyperlink>
            <w:r w:rsidRPr="00375DAC">
              <w:rPr>
                <w:rFonts w:asciiTheme="minorHAnsi" w:hAnsiTheme="minorHAnsi" w:cstheme="minorHAnsi"/>
                <w:color w:val="1F3864" w:themeColor="accent1" w:themeShade="80"/>
                <w:sz w:val="22"/>
                <w:szCs w:val="22"/>
              </w:rPr>
              <w:t xml:space="preserve">; </w:t>
            </w:r>
            <w:hyperlink r:id="rId72" w:history="1">
              <w:r w:rsidRPr="00375DAC">
                <w:rPr>
                  <w:rStyle w:val="Hyperlink"/>
                  <w:rFonts w:asciiTheme="minorHAnsi" w:hAnsiTheme="minorHAnsi" w:cstheme="minorHAnsi"/>
                  <w:color w:val="023160" w:themeColor="hyperlink" w:themeShade="80"/>
                  <w:sz w:val="22"/>
                  <w:szCs w:val="22"/>
                </w:rPr>
                <w:t>Kingsbury (2009)</w:t>
              </w:r>
            </w:hyperlink>
          </w:p>
        </w:tc>
        <w:tc>
          <w:tcPr>
            <w:tcW w:w="1906" w:type="dxa"/>
            <w:hideMark/>
          </w:tcPr>
          <w:p w14:paraId="35427D7A"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Oversight systems such as monitoring, reporting, and review procedures reinforce accountability and legitimacy by institutionalising compliance.</w:t>
            </w:r>
          </w:p>
        </w:tc>
        <w:tc>
          <w:tcPr>
            <w:tcW w:w="1949" w:type="dxa"/>
          </w:tcPr>
          <w:p w14:paraId="5B797A51" w14:textId="4905171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Monitoring Devices, Reporting Mechanisms, Review Procedures</w:t>
            </w:r>
          </w:p>
        </w:tc>
        <w:tc>
          <w:tcPr>
            <w:tcW w:w="1701" w:type="dxa"/>
          </w:tcPr>
          <w:p w14:paraId="7F099D69" w14:textId="34D39A66"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Oversight mechanisms reinforce jurisdiction by institutionalizing enforcement and transparency.</w:t>
            </w:r>
          </w:p>
        </w:tc>
        <w:tc>
          <w:tcPr>
            <w:tcW w:w="1709" w:type="dxa"/>
          </w:tcPr>
          <w:p w14:paraId="0927AF62" w14:textId="34D6FC51"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Political resistance or resource constraints may impede monitoring and follow</w:t>
            </w:r>
            <w:r w:rsidRPr="0006741B">
              <w:rPr>
                <w:rFonts w:asciiTheme="minorHAnsi" w:hAnsiTheme="minorHAnsi" w:cstheme="minorHAnsi"/>
                <w:color w:val="1F3864" w:themeColor="accent1" w:themeShade="80"/>
                <w:sz w:val="22"/>
                <w:szCs w:val="22"/>
              </w:rPr>
              <w:noBreakHyphen/>
              <w:t>up.</w:t>
            </w:r>
          </w:p>
        </w:tc>
        <w:tc>
          <w:tcPr>
            <w:tcW w:w="1535" w:type="dxa"/>
            <w:hideMark/>
          </w:tcPr>
          <w:p w14:paraId="52D48E15" w14:textId="191D03CE"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Politicisation, resource limits, and member resistance can weaken monitoring and follow</w:t>
            </w:r>
            <w:r w:rsidRPr="00375DAC">
              <w:rPr>
                <w:rFonts w:asciiTheme="minorHAnsi" w:hAnsiTheme="minorHAnsi" w:cstheme="minorHAnsi"/>
                <w:color w:val="1F3864" w:themeColor="accent1" w:themeShade="80"/>
                <w:sz w:val="22"/>
                <w:szCs w:val="22"/>
              </w:rPr>
              <w:noBreakHyphen/>
              <w:t>up effectiveness.</w:t>
            </w:r>
          </w:p>
        </w:tc>
      </w:tr>
      <w:tr w:rsidR="00101B62" w:rsidRPr="00375DAC" w14:paraId="2C1C3546" w14:textId="77777777" w:rsidTr="00101B62">
        <w:tc>
          <w:tcPr>
            <w:tcW w:w="1492" w:type="dxa"/>
            <w:hideMark/>
          </w:tcPr>
          <w:p w14:paraId="36C436CD"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Delegated or Derived Powers</w:t>
            </w:r>
          </w:p>
        </w:tc>
        <w:tc>
          <w:tcPr>
            <w:tcW w:w="1816" w:type="dxa"/>
            <w:hideMark/>
          </w:tcPr>
          <w:p w14:paraId="20773350" w14:textId="77777777" w:rsidR="00101B62" w:rsidRPr="00375DAC" w:rsidRDefault="00101B62" w:rsidP="00101B62">
            <w:pPr>
              <w:rPr>
                <w:rFonts w:asciiTheme="minorHAnsi" w:hAnsiTheme="minorHAnsi" w:cstheme="minorHAnsi"/>
                <w:color w:val="1F3864" w:themeColor="accent1" w:themeShade="80"/>
                <w:sz w:val="22"/>
                <w:szCs w:val="22"/>
              </w:rPr>
            </w:pPr>
            <w:hyperlink r:id="rId73" w:history="1">
              <w:r w:rsidRPr="00375DAC">
                <w:rPr>
                  <w:rStyle w:val="Hyperlink"/>
                  <w:rFonts w:asciiTheme="minorHAnsi" w:hAnsiTheme="minorHAnsi" w:cstheme="minorHAnsi"/>
                  <w:color w:val="023160" w:themeColor="hyperlink" w:themeShade="80"/>
                  <w:sz w:val="22"/>
                  <w:szCs w:val="22"/>
                </w:rPr>
                <w:t>Sands &amp; Peel (2018)</w:t>
              </w:r>
            </w:hyperlink>
            <w:r w:rsidRPr="00375DAC">
              <w:rPr>
                <w:rFonts w:asciiTheme="minorHAnsi" w:hAnsiTheme="minorHAnsi" w:cstheme="minorHAnsi"/>
                <w:color w:val="1F3864" w:themeColor="accent1" w:themeShade="80"/>
                <w:sz w:val="22"/>
                <w:szCs w:val="22"/>
              </w:rPr>
              <w:t xml:space="preserve">; </w:t>
            </w:r>
            <w:hyperlink r:id="rId74" w:history="1">
              <w:r w:rsidRPr="00375DAC">
                <w:rPr>
                  <w:rStyle w:val="Hyperlink"/>
                  <w:rFonts w:asciiTheme="minorHAnsi" w:hAnsiTheme="minorHAnsi" w:cstheme="minorHAnsi"/>
                  <w:color w:val="023160" w:themeColor="hyperlink" w:themeShade="80"/>
                  <w:sz w:val="22"/>
                  <w:szCs w:val="22"/>
                </w:rPr>
                <w:t>ICJ Advisory Opinions</w:t>
              </w:r>
            </w:hyperlink>
          </w:p>
        </w:tc>
        <w:tc>
          <w:tcPr>
            <w:tcW w:w="1906" w:type="dxa"/>
            <w:hideMark/>
          </w:tcPr>
          <w:p w14:paraId="17F83990"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These sources highlight that IGOs may exercise implied powers or receive delegated authority to fulfil mandates, allowing flexible jurisdictional evolution.</w:t>
            </w:r>
          </w:p>
        </w:tc>
        <w:tc>
          <w:tcPr>
            <w:tcW w:w="1949" w:type="dxa"/>
          </w:tcPr>
          <w:p w14:paraId="2FDB38FF" w14:textId="63545A7F"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Implied Powers, Delegated Authority, Functional Extensions</w:t>
            </w:r>
          </w:p>
        </w:tc>
        <w:tc>
          <w:tcPr>
            <w:tcW w:w="1701" w:type="dxa"/>
          </w:tcPr>
          <w:p w14:paraId="346EA77E" w14:textId="369A9148"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Jurisdiction evolves through necessity, interpretation, or delegation from member states.</w:t>
            </w:r>
          </w:p>
        </w:tc>
        <w:tc>
          <w:tcPr>
            <w:tcW w:w="1709" w:type="dxa"/>
          </w:tcPr>
          <w:p w14:paraId="14F00DD5" w14:textId="62C45989"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Legal contestation or lack of explicit authorization may limit legitimacy or scope.</w:t>
            </w:r>
          </w:p>
        </w:tc>
        <w:tc>
          <w:tcPr>
            <w:tcW w:w="1535" w:type="dxa"/>
            <w:hideMark/>
          </w:tcPr>
          <w:p w14:paraId="28C51751" w14:textId="52800942"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Functional necessity or member delegation can expand powers, though absence of explicit authorisation risks contestation.</w:t>
            </w:r>
          </w:p>
        </w:tc>
      </w:tr>
      <w:tr w:rsidR="00101B62" w:rsidRPr="00375DAC" w14:paraId="34178EA7" w14:textId="77777777" w:rsidTr="00101B62">
        <w:tc>
          <w:tcPr>
            <w:tcW w:w="1492" w:type="dxa"/>
            <w:hideMark/>
          </w:tcPr>
          <w:p w14:paraId="513496C5"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Customary &amp; Soft Law</w:t>
            </w:r>
          </w:p>
        </w:tc>
        <w:tc>
          <w:tcPr>
            <w:tcW w:w="1816" w:type="dxa"/>
            <w:hideMark/>
          </w:tcPr>
          <w:p w14:paraId="6988E353" w14:textId="77777777" w:rsidR="00101B62" w:rsidRPr="00375DAC" w:rsidRDefault="00101B62" w:rsidP="00101B62">
            <w:pPr>
              <w:rPr>
                <w:rFonts w:asciiTheme="minorHAnsi" w:hAnsiTheme="minorHAnsi" w:cstheme="minorHAnsi"/>
                <w:color w:val="1F3864" w:themeColor="accent1" w:themeShade="80"/>
                <w:sz w:val="22"/>
                <w:szCs w:val="22"/>
              </w:rPr>
            </w:pPr>
            <w:hyperlink r:id="rId75" w:history="1">
              <w:r w:rsidRPr="00375DAC">
                <w:rPr>
                  <w:rStyle w:val="Hyperlink"/>
                  <w:rFonts w:asciiTheme="minorHAnsi" w:hAnsiTheme="minorHAnsi" w:cstheme="minorHAnsi"/>
                  <w:color w:val="023160" w:themeColor="hyperlink" w:themeShade="80"/>
                  <w:sz w:val="22"/>
                  <w:szCs w:val="22"/>
                </w:rPr>
                <w:t>Weil (1983)</w:t>
              </w:r>
            </w:hyperlink>
            <w:r w:rsidRPr="00375DAC">
              <w:rPr>
                <w:rFonts w:asciiTheme="minorHAnsi" w:hAnsiTheme="minorHAnsi" w:cstheme="minorHAnsi"/>
                <w:color w:val="1F3864" w:themeColor="accent1" w:themeShade="80"/>
                <w:sz w:val="22"/>
                <w:szCs w:val="22"/>
              </w:rPr>
              <w:t xml:space="preserve">; </w:t>
            </w:r>
            <w:hyperlink r:id="rId76" w:history="1">
              <w:r w:rsidRPr="00375DAC">
                <w:rPr>
                  <w:rStyle w:val="Hyperlink"/>
                  <w:rFonts w:asciiTheme="minorHAnsi" w:hAnsiTheme="minorHAnsi" w:cstheme="minorHAnsi"/>
                  <w:color w:val="023160" w:themeColor="hyperlink" w:themeShade="80"/>
                  <w:sz w:val="22"/>
                  <w:szCs w:val="22"/>
                </w:rPr>
                <w:t>Dupuy (1991)</w:t>
              </w:r>
            </w:hyperlink>
            <w:r w:rsidRPr="00375DAC">
              <w:rPr>
                <w:rFonts w:asciiTheme="minorHAnsi" w:hAnsiTheme="minorHAnsi" w:cstheme="minorHAnsi"/>
                <w:color w:val="1F3864" w:themeColor="accent1" w:themeShade="80"/>
                <w:sz w:val="22"/>
                <w:szCs w:val="22"/>
              </w:rPr>
              <w:t xml:space="preserve">; </w:t>
            </w:r>
            <w:hyperlink r:id="rId77" w:history="1">
              <w:r w:rsidRPr="00375DAC">
                <w:rPr>
                  <w:rStyle w:val="Hyperlink"/>
                  <w:rFonts w:asciiTheme="minorHAnsi" w:hAnsiTheme="minorHAnsi" w:cstheme="minorHAnsi"/>
                  <w:color w:val="023160" w:themeColor="hyperlink" w:themeShade="80"/>
                  <w:sz w:val="22"/>
                  <w:szCs w:val="22"/>
                </w:rPr>
                <w:t>OPIL</w:t>
              </w:r>
            </w:hyperlink>
          </w:p>
        </w:tc>
        <w:tc>
          <w:tcPr>
            <w:tcW w:w="1906" w:type="dxa"/>
            <w:hideMark/>
          </w:tcPr>
          <w:p w14:paraId="4385C63D"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 xml:space="preserve">Customary norms and soft law inform interpretation and </w:t>
            </w:r>
            <w:r w:rsidRPr="00375DAC">
              <w:rPr>
                <w:rFonts w:asciiTheme="minorHAnsi" w:hAnsiTheme="minorHAnsi" w:cstheme="minorHAnsi"/>
                <w:color w:val="1F3864" w:themeColor="accent1" w:themeShade="80"/>
                <w:sz w:val="22"/>
                <w:szCs w:val="22"/>
              </w:rPr>
              <w:lastRenderedPageBreak/>
              <w:t>fill legal gaps where codified law is absent, influencing institutional behaviour.</w:t>
            </w:r>
          </w:p>
        </w:tc>
        <w:tc>
          <w:tcPr>
            <w:tcW w:w="1949" w:type="dxa"/>
          </w:tcPr>
          <w:p w14:paraId="447D2240" w14:textId="3620A55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lastRenderedPageBreak/>
              <w:t>Customary Norms, Soft Law Instruments, General Principles</w:t>
            </w:r>
          </w:p>
        </w:tc>
        <w:tc>
          <w:tcPr>
            <w:tcW w:w="1701" w:type="dxa"/>
          </w:tcPr>
          <w:p w14:paraId="1E12A3CF" w14:textId="21ABC991"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 xml:space="preserve">These sources shape legal evolution and practice, </w:t>
            </w:r>
            <w:r w:rsidRPr="0006741B">
              <w:rPr>
                <w:rFonts w:asciiTheme="minorHAnsi" w:hAnsiTheme="minorHAnsi" w:cstheme="minorHAnsi"/>
                <w:color w:val="1F3864" w:themeColor="accent1" w:themeShade="80"/>
                <w:sz w:val="22"/>
                <w:szCs w:val="22"/>
              </w:rPr>
              <w:lastRenderedPageBreak/>
              <w:t>especially in areas lacking codified law.</w:t>
            </w:r>
          </w:p>
        </w:tc>
        <w:tc>
          <w:tcPr>
            <w:tcW w:w="1709" w:type="dxa"/>
          </w:tcPr>
          <w:p w14:paraId="79B8DDE5" w14:textId="56608FA0"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lastRenderedPageBreak/>
              <w:t xml:space="preserve">Uncertainty in recognition or inconsistent practice may </w:t>
            </w:r>
            <w:r w:rsidRPr="0006741B">
              <w:rPr>
                <w:rFonts w:asciiTheme="minorHAnsi" w:hAnsiTheme="minorHAnsi" w:cstheme="minorHAnsi"/>
                <w:color w:val="1F3864" w:themeColor="accent1" w:themeShade="80"/>
                <w:sz w:val="22"/>
                <w:szCs w:val="22"/>
              </w:rPr>
              <w:lastRenderedPageBreak/>
              <w:t>undermine authority.</w:t>
            </w:r>
          </w:p>
        </w:tc>
        <w:tc>
          <w:tcPr>
            <w:tcW w:w="1535" w:type="dxa"/>
            <w:hideMark/>
          </w:tcPr>
          <w:p w14:paraId="7E12D8E4" w14:textId="584F6A96"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lastRenderedPageBreak/>
              <w:t xml:space="preserve">Lack of consensus on recognition or inconsistent </w:t>
            </w:r>
            <w:r w:rsidRPr="00375DAC">
              <w:rPr>
                <w:rFonts w:asciiTheme="minorHAnsi" w:hAnsiTheme="minorHAnsi" w:cstheme="minorHAnsi"/>
                <w:color w:val="1F3864" w:themeColor="accent1" w:themeShade="80"/>
                <w:sz w:val="22"/>
                <w:szCs w:val="22"/>
              </w:rPr>
              <w:lastRenderedPageBreak/>
              <w:t>application may undermine authority.</w:t>
            </w:r>
          </w:p>
        </w:tc>
      </w:tr>
      <w:tr w:rsidR="00101B62" w:rsidRPr="00375DAC" w14:paraId="6461843A" w14:textId="77777777" w:rsidTr="00101B62">
        <w:tc>
          <w:tcPr>
            <w:tcW w:w="1492" w:type="dxa"/>
            <w:hideMark/>
          </w:tcPr>
          <w:p w14:paraId="06C85ED5"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lastRenderedPageBreak/>
              <w:t>Bilateral / Multilateral Arrangements</w:t>
            </w:r>
          </w:p>
        </w:tc>
        <w:tc>
          <w:tcPr>
            <w:tcW w:w="1816" w:type="dxa"/>
            <w:hideMark/>
          </w:tcPr>
          <w:p w14:paraId="4FEAD3C4" w14:textId="77777777" w:rsidR="00101B62" w:rsidRPr="00375DAC" w:rsidRDefault="00101B62" w:rsidP="00101B62">
            <w:pPr>
              <w:rPr>
                <w:rFonts w:asciiTheme="minorHAnsi" w:hAnsiTheme="minorHAnsi" w:cstheme="minorHAnsi"/>
                <w:color w:val="1F3864" w:themeColor="accent1" w:themeShade="80"/>
                <w:sz w:val="22"/>
                <w:szCs w:val="22"/>
              </w:rPr>
            </w:pPr>
            <w:hyperlink r:id="rId78" w:history="1">
              <w:r w:rsidRPr="00375DAC">
                <w:rPr>
                  <w:rStyle w:val="Hyperlink"/>
                  <w:rFonts w:asciiTheme="minorHAnsi" w:hAnsiTheme="minorHAnsi" w:cstheme="minorHAnsi"/>
                  <w:color w:val="023160" w:themeColor="hyperlink" w:themeShade="80"/>
                  <w:sz w:val="22"/>
                  <w:szCs w:val="22"/>
                </w:rPr>
                <w:t>Chayes &amp; Chayes (1995)</w:t>
              </w:r>
            </w:hyperlink>
            <w:r w:rsidRPr="00375DAC">
              <w:rPr>
                <w:rFonts w:asciiTheme="minorHAnsi" w:hAnsiTheme="minorHAnsi" w:cstheme="minorHAnsi"/>
                <w:color w:val="1F3864" w:themeColor="accent1" w:themeShade="80"/>
                <w:sz w:val="22"/>
                <w:szCs w:val="22"/>
              </w:rPr>
              <w:t xml:space="preserve">; </w:t>
            </w:r>
            <w:hyperlink r:id="rId79" w:history="1">
              <w:r w:rsidRPr="00375DAC">
                <w:rPr>
                  <w:rStyle w:val="Hyperlink"/>
                  <w:rFonts w:asciiTheme="minorHAnsi" w:hAnsiTheme="minorHAnsi" w:cstheme="minorHAnsi"/>
                  <w:color w:val="023160" w:themeColor="hyperlink" w:themeShade="80"/>
                  <w:sz w:val="22"/>
                  <w:szCs w:val="22"/>
                </w:rPr>
                <w:t>Kingsbury (1999)</w:t>
              </w:r>
            </w:hyperlink>
            <w:r w:rsidRPr="00375DAC">
              <w:rPr>
                <w:rFonts w:asciiTheme="minorHAnsi" w:hAnsiTheme="minorHAnsi" w:cstheme="minorHAnsi"/>
                <w:color w:val="1F3864" w:themeColor="accent1" w:themeShade="80"/>
                <w:sz w:val="22"/>
                <w:szCs w:val="22"/>
              </w:rPr>
              <w:t xml:space="preserve">; </w:t>
            </w:r>
            <w:hyperlink r:id="rId80" w:history="1">
              <w:r w:rsidRPr="00375DAC">
                <w:rPr>
                  <w:rStyle w:val="Hyperlink"/>
                  <w:rFonts w:asciiTheme="minorHAnsi" w:hAnsiTheme="minorHAnsi" w:cstheme="minorHAnsi"/>
                  <w:color w:val="023160" w:themeColor="hyperlink" w:themeShade="80"/>
                  <w:sz w:val="22"/>
                  <w:szCs w:val="22"/>
                </w:rPr>
                <w:t>Romano (2006)</w:t>
              </w:r>
            </w:hyperlink>
          </w:p>
        </w:tc>
        <w:tc>
          <w:tcPr>
            <w:tcW w:w="1906" w:type="dxa"/>
            <w:hideMark/>
          </w:tcPr>
          <w:p w14:paraId="7ECADD7E"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Agreements outside founding instruments allow pragmatic jurisdictional extensions through negotiated consensus.</w:t>
            </w:r>
          </w:p>
        </w:tc>
        <w:tc>
          <w:tcPr>
            <w:tcW w:w="1949" w:type="dxa"/>
          </w:tcPr>
          <w:p w14:paraId="4E81F594" w14:textId="1D74917E"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Bilateral Agreements, Multilateral Agreements, Memoranda of Understanding</w:t>
            </w:r>
          </w:p>
        </w:tc>
        <w:tc>
          <w:tcPr>
            <w:tcW w:w="1701" w:type="dxa"/>
          </w:tcPr>
          <w:p w14:paraId="743A670B" w14:textId="5172BFB2"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arrangements reflect pragmatic extensions of authority through negotiated consensus.</w:t>
            </w:r>
          </w:p>
        </w:tc>
        <w:tc>
          <w:tcPr>
            <w:tcW w:w="1709" w:type="dxa"/>
          </w:tcPr>
          <w:p w14:paraId="72645DA4" w14:textId="3A30EFF3"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Fragmentation or conflicting obligations may impede coherent jurisdictional reach.</w:t>
            </w:r>
          </w:p>
        </w:tc>
        <w:tc>
          <w:tcPr>
            <w:tcW w:w="1535" w:type="dxa"/>
            <w:hideMark/>
          </w:tcPr>
          <w:p w14:paraId="47A01C11" w14:textId="44259F7D"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Risk of fragmentation or conflicting obligations can limit coherence and effectiveness.</w:t>
            </w:r>
          </w:p>
        </w:tc>
      </w:tr>
      <w:tr w:rsidR="00101B62" w:rsidRPr="00375DAC" w14:paraId="2C22FBED" w14:textId="77777777" w:rsidTr="00101B62">
        <w:tc>
          <w:tcPr>
            <w:tcW w:w="1492" w:type="dxa"/>
            <w:hideMark/>
          </w:tcPr>
          <w:p w14:paraId="0C1A8CED"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Other Governance Instruments</w:t>
            </w:r>
          </w:p>
        </w:tc>
        <w:tc>
          <w:tcPr>
            <w:tcW w:w="1816" w:type="dxa"/>
            <w:hideMark/>
          </w:tcPr>
          <w:p w14:paraId="719D0A21" w14:textId="77777777" w:rsidR="00101B62" w:rsidRPr="00375DAC" w:rsidRDefault="00101B62" w:rsidP="00101B62">
            <w:pPr>
              <w:rPr>
                <w:rFonts w:asciiTheme="minorHAnsi" w:hAnsiTheme="minorHAnsi" w:cstheme="minorHAnsi"/>
                <w:color w:val="1F3864" w:themeColor="accent1" w:themeShade="80"/>
                <w:sz w:val="22"/>
                <w:szCs w:val="22"/>
              </w:rPr>
            </w:pPr>
            <w:hyperlink r:id="rId81" w:history="1">
              <w:r w:rsidRPr="00375DAC">
                <w:rPr>
                  <w:rStyle w:val="Hyperlink"/>
                  <w:rFonts w:asciiTheme="minorHAnsi" w:hAnsiTheme="minorHAnsi" w:cstheme="minorHAnsi"/>
                  <w:color w:val="023160" w:themeColor="hyperlink" w:themeShade="80"/>
                  <w:sz w:val="22"/>
                  <w:szCs w:val="22"/>
                </w:rPr>
                <w:t>Abbott &amp; Snidal (2000)</w:t>
              </w:r>
            </w:hyperlink>
            <w:r w:rsidRPr="00375DAC">
              <w:rPr>
                <w:rFonts w:asciiTheme="minorHAnsi" w:hAnsiTheme="minorHAnsi" w:cstheme="minorHAnsi"/>
                <w:color w:val="1F3864" w:themeColor="accent1" w:themeShade="80"/>
                <w:sz w:val="22"/>
                <w:szCs w:val="22"/>
              </w:rPr>
              <w:t xml:space="preserve">; </w:t>
            </w:r>
            <w:hyperlink r:id="rId82" w:history="1">
              <w:r w:rsidRPr="00375DAC">
                <w:rPr>
                  <w:rStyle w:val="Hyperlink"/>
                  <w:rFonts w:asciiTheme="minorHAnsi" w:hAnsiTheme="minorHAnsi" w:cstheme="minorHAnsi"/>
                  <w:color w:val="023160" w:themeColor="hyperlink" w:themeShade="80"/>
                  <w:sz w:val="22"/>
                  <w:szCs w:val="22"/>
                </w:rPr>
                <w:t xml:space="preserve">Barnett &amp; </w:t>
              </w:r>
              <w:proofErr w:type="spellStart"/>
              <w:r w:rsidRPr="00375DAC">
                <w:rPr>
                  <w:rStyle w:val="Hyperlink"/>
                  <w:rFonts w:asciiTheme="minorHAnsi" w:hAnsiTheme="minorHAnsi" w:cstheme="minorHAnsi"/>
                  <w:color w:val="023160" w:themeColor="hyperlink" w:themeShade="80"/>
                  <w:sz w:val="22"/>
                  <w:szCs w:val="22"/>
                </w:rPr>
                <w:t>Finnemore</w:t>
              </w:r>
              <w:proofErr w:type="spellEnd"/>
              <w:r w:rsidRPr="00375DAC">
                <w:rPr>
                  <w:rStyle w:val="Hyperlink"/>
                  <w:rFonts w:asciiTheme="minorHAnsi" w:hAnsiTheme="minorHAnsi" w:cstheme="minorHAnsi"/>
                  <w:color w:val="023160" w:themeColor="hyperlink" w:themeShade="80"/>
                  <w:sz w:val="22"/>
                  <w:szCs w:val="22"/>
                </w:rPr>
                <w:t> (2004)</w:t>
              </w:r>
            </w:hyperlink>
          </w:p>
        </w:tc>
        <w:tc>
          <w:tcPr>
            <w:tcW w:w="1906" w:type="dxa"/>
            <w:hideMark/>
          </w:tcPr>
          <w:p w14:paraId="309A905F"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Executive decisions, internal norms, and informal protocols can significantly shape institutional behaviour and practice.</w:t>
            </w:r>
          </w:p>
        </w:tc>
        <w:tc>
          <w:tcPr>
            <w:tcW w:w="1949" w:type="dxa"/>
          </w:tcPr>
          <w:p w14:paraId="09C3C024" w14:textId="1BFE44CD"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Executive Decisions, Institutional Norms, Internal Rules, Informal Protocols</w:t>
            </w:r>
          </w:p>
        </w:tc>
        <w:tc>
          <w:tcPr>
            <w:tcW w:w="1701" w:type="dxa"/>
          </w:tcPr>
          <w:p w14:paraId="50D77267" w14:textId="0272006B"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tools reflect the dynamic and adaptive nature of IGO authority in practice.</w:t>
            </w:r>
          </w:p>
        </w:tc>
        <w:tc>
          <w:tcPr>
            <w:tcW w:w="1709" w:type="dxa"/>
          </w:tcPr>
          <w:p w14:paraId="5752DF40" w14:textId="6A86B2C1"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Informality may lead to lack of transparency, accountability, or legal clarity.</w:t>
            </w:r>
          </w:p>
        </w:tc>
        <w:tc>
          <w:tcPr>
            <w:tcW w:w="1535" w:type="dxa"/>
            <w:hideMark/>
          </w:tcPr>
          <w:p w14:paraId="34A15412" w14:textId="0F69579D"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Informality may foster adaptability but risk opacity, weak accountability, and reduced legal certainty.</w:t>
            </w:r>
          </w:p>
        </w:tc>
      </w:tr>
    </w:tbl>
    <w:p w14:paraId="44F099F8" w14:textId="77777777" w:rsidR="00375DAC" w:rsidRDefault="00375DAC" w:rsidP="0006741B">
      <w:pPr>
        <w:rPr>
          <w:rFonts w:asciiTheme="minorHAnsi" w:hAnsiTheme="minorHAnsi" w:cstheme="minorHAnsi"/>
          <w:b/>
          <w:bCs/>
          <w:color w:val="1F3864" w:themeColor="accent1" w:themeShade="80"/>
          <w:sz w:val="22"/>
          <w:szCs w:val="22"/>
        </w:rPr>
      </w:pPr>
    </w:p>
    <w:p w14:paraId="5223A087" w14:textId="77777777" w:rsidR="00375DAC" w:rsidRDefault="00375DAC" w:rsidP="0006741B">
      <w:pPr>
        <w:rPr>
          <w:rFonts w:asciiTheme="minorHAnsi" w:hAnsiTheme="minorHAnsi" w:cstheme="minorHAnsi"/>
          <w:b/>
          <w:bCs/>
          <w:color w:val="1F3864" w:themeColor="accent1" w:themeShade="80"/>
          <w:sz w:val="22"/>
          <w:szCs w:val="22"/>
        </w:rPr>
      </w:pPr>
    </w:p>
    <w:p w14:paraId="5B3F51C4" w14:textId="54973ED6" w:rsidR="00633E7B" w:rsidRPr="00633E7B" w:rsidRDefault="00633E7B" w:rsidP="00633E7B">
      <w:pPr>
        <w:rPr>
          <w:rFonts w:asciiTheme="minorHAnsi" w:hAnsiTheme="minorHAnsi" w:cstheme="minorHAnsi"/>
          <w:b/>
          <w:bCs/>
          <w:color w:val="1F3864" w:themeColor="accent1" w:themeShade="80"/>
          <w:sz w:val="22"/>
          <w:szCs w:val="22"/>
        </w:rPr>
      </w:pPr>
    </w:p>
    <w:p w14:paraId="062D3F51" w14:textId="77777777" w:rsidR="005C63E7" w:rsidRPr="006E2E54" w:rsidRDefault="005C63E7" w:rsidP="005C63E7">
      <w:pPr>
        <w:rPr>
          <w:rFonts w:asciiTheme="minorHAnsi" w:hAnsiTheme="minorHAnsi" w:cstheme="minorHAnsi"/>
          <w:color w:val="1F3864" w:themeColor="accent1" w:themeShade="80"/>
          <w:sz w:val="22"/>
          <w:szCs w:val="22"/>
        </w:rPr>
      </w:pPr>
    </w:p>
    <w:p w14:paraId="10E2AAD8"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Defined Objectives</w:t>
      </w:r>
    </w:p>
    <w:p w14:paraId="25839875" w14:textId="555E53B1" w:rsidR="006F01E7" w:rsidRPr="006F01E7" w:rsidRDefault="006F01E7" w:rsidP="006F01E7">
      <w:pPr>
        <w:rPr>
          <w:rFonts w:asciiTheme="minorHAnsi" w:hAnsiTheme="minorHAnsi" w:cstheme="minorHAnsi"/>
          <w:color w:val="1F3864" w:themeColor="accent1" w:themeShade="80"/>
          <w:sz w:val="22"/>
          <w:szCs w:val="22"/>
        </w:rPr>
      </w:pPr>
    </w:p>
    <w:p w14:paraId="47F50536" w14:textId="2C16FAB6" w:rsidR="00DB0726" w:rsidRPr="00DB0726" w:rsidRDefault="00DB0726" w:rsidP="00DB0726">
      <w:pPr>
        <w:jc w:val="both"/>
        <w:rPr>
          <w:rFonts w:asciiTheme="minorHAnsi" w:hAnsiTheme="minorHAnsi" w:cstheme="minorHAnsi"/>
          <w:color w:val="1F3864" w:themeColor="accent1" w:themeShade="80"/>
          <w:sz w:val="22"/>
          <w:szCs w:val="22"/>
        </w:rPr>
      </w:pPr>
      <w:r w:rsidRPr="00DB0726">
        <w:rPr>
          <w:rFonts w:asciiTheme="minorHAnsi" w:hAnsiTheme="minorHAnsi" w:cstheme="minorHAnsi"/>
          <w:color w:val="1F3864" w:themeColor="accent1" w:themeShade="80"/>
          <w:sz w:val="22"/>
          <w:szCs w:val="22"/>
        </w:rPr>
        <w:t xml:space="preserve">The </w:t>
      </w:r>
      <w:r w:rsidRPr="00DB0726">
        <w:rPr>
          <w:rFonts w:asciiTheme="minorHAnsi" w:hAnsiTheme="minorHAnsi" w:cstheme="minorHAnsi"/>
          <w:b/>
          <w:bCs/>
          <w:color w:val="1F3864" w:themeColor="accent1" w:themeShade="80"/>
          <w:sz w:val="22"/>
          <w:szCs w:val="22"/>
        </w:rPr>
        <w:t>Defined Objectives</w:t>
      </w:r>
      <w:r w:rsidRPr="00DB0726">
        <w:rPr>
          <w:rFonts w:asciiTheme="minorHAnsi" w:hAnsiTheme="minorHAnsi" w:cstheme="minorHAnsi"/>
          <w:color w:val="1F3864" w:themeColor="accent1" w:themeShade="80"/>
          <w:sz w:val="22"/>
          <w:szCs w:val="22"/>
        </w:rPr>
        <w:t xml:space="preserve"> framework for IGOs</w:t>
      </w:r>
      <w:r>
        <w:rPr>
          <w:rFonts w:asciiTheme="minorHAnsi" w:hAnsiTheme="minorHAnsi" w:cstheme="minorHAnsi"/>
          <w:color w:val="1F3864" w:themeColor="accent1" w:themeShade="80"/>
          <w:sz w:val="22"/>
          <w:szCs w:val="22"/>
        </w:rPr>
        <w:t xml:space="preserve"> </w:t>
      </w:r>
      <w:r w:rsidRPr="00DB0726">
        <w:rPr>
          <w:rFonts w:asciiTheme="minorHAnsi" w:hAnsiTheme="minorHAnsi" w:cstheme="minorHAnsi"/>
          <w:color w:val="1F3864" w:themeColor="accent1" w:themeShade="80"/>
          <w:sz w:val="22"/>
          <w:szCs w:val="22"/>
        </w:rPr>
        <w:t>in ocean economy governance emerges from a structured, comparative analysis of institutional mandates, strategic plans, and operational outputs (UNDESA, 2014; IOC</w:t>
      </w:r>
      <w:r w:rsidRPr="00DB0726">
        <w:rPr>
          <w:rFonts w:asciiTheme="minorHAnsi" w:hAnsiTheme="minorHAnsi" w:cstheme="minorHAnsi"/>
          <w:color w:val="1F3864" w:themeColor="accent1" w:themeShade="80"/>
          <w:sz w:val="22"/>
          <w:szCs w:val="22"/>
        </w:rPr>
        <w:noBreakHyphen/>
        <w:t>UNESCO, 2021). The categorisation process integrates: (</w:t>
      </w:r>
      <w:proofErr w:type="spellStart"/>
      <w:r w:rsidRPr="00DB0726">
        <w:rPr>
          <w:rFonts w:asciiTheme="minorHAnsi" w:hAnsiTheme="minorHAnsi" w:cstheme="minorHAnsi"/>
          <w:color w:val="1F3864" w:themeColor="accent1" w:themeShade="80"/>
          <w:sz w:val="22"/>
          <w:szCs w:val="22"/>
        </w:rPr>
        <w:t>i</w:t>
      </w:r>
      <w:proofErr w:type="spellEnd"/>
      <w:r w:rsidRPr="00DB0726">
        <w:rPr>
          <w:rFonts w:asciiTheme="minorHAnsi" w:hAnsiTheme="minorHAnsi" w:cstheme="minorHAnsi"/>
          <w:color w:val="1F3864" w:themeColor="accent1" w:themeShade="80"/>
          <w:sz w:val="22"/>
          <w:szCs w:val="22"/>
        </w:rPr>
        <w:t>) doctrinal review of IGO constitutive and policy instruments (UNCLOS, 1982; FAO, 2018), (ii) comparative institutional analysis across global, regional, and sectoral ocean</w:t>
      </w:r>
      <w:r w:rsidRPr="00DB0726">
        <w:rPr>
          <w:rFonts w:asciiTheme="minorHAnsi" w:hAnsiTheme="minorHAnsi" w:cstheme="minorHAnsi"/>
          <w:color w:val="1F3864" w:themeColor="accent1" w:themeShade="80"/>
          <w:sz w:val="22"/>
          <w:szCs w:val="22"/>
        </w:rPr>
        <w:noBreakHyphen/>
        <w:t>related IGOs (Adewumi, 2021), and (iii) empirical mapping of functional priorities as reflected in official reports, budgets, programme evaluations, and relevant literature (World Bank, 2017; OECD, 2020). This triangulated approach ensures that the framework reflects both formal legal mandates and actualised practice (Chircop, 2019). It captures the multi</w:t>
      </w:r>
      <w:r w:rsidRPr="00DB0726">
        <w:rPr>
          <w:rFonts w:asciiTheme="minorHAnsi" w:hAnsiTheme="minorHAnsi" w:cstheme="minorHAnsi"/>
          <w:color w:val="1F3864" w:themeColor="accent1" w:themeShade="80"/>
          <w:sz w:val="22"/>
          <w:szCs w:val="22"/>
        </w:rPr>
        <w:noBreakHyphen/>
        <w:t>dimensional nature of ocean governance by clustering recurring functional themes into distinct, analytically separable categories (</w:t>
      </w:r>
      <w:proofErr w:type="spellStart"/>
      <w:r w:rsidRPr="00DB0726">
        <w:rPr>
          <w:rFonts w:asciiTheme="minorHAnsi" w:hAnsiTheme="minorHAnsi" w:cstheme="minorHAnsi"/>
          <w:color w:val="1F3864" w:themeColor="accent1" w:themeShade="80"/>
          <w:sz w:val="22"/>
          <w:szCs w:val="22"/>
        </w:rPr>
        <w:t>Boonstra</w:t>
      </w:r>
      <w:proofErr w:type="spellEnd"/>
      <w:r w:rsidRPr="00DB0726">
        <w:rPr>
          <w:rFonts w:asciiTheme="minorHAnsi" w:hAnsiTheme="minorHAnsi" w:cstheme="minorHAnsi"/>
          <w:color w:val="1F3864" w:themeColor="accent1" w:themeShade="80"/>
          <w:sz w:val="22"/>
          <w:szCs w:val="22"/>
        </w:rPr>
        <w:t> et al., 2017).</w:t>
      </w:r>
    </w:p>
    <w:p w14:paraId="1DD5B63F" w14:textId="77777777" w:rsidR="00DB0726" w:rsidRPr="00DB0726" w:rsidRDefault="00DB0726" w:rsidP="00DB0726">
      <w:pPr>
        <w:jc w:val="both"/>
        <w:rPr>
          <w:rFonts w:asciiTheme="minorHAnsi" w:hAnsiTheme="minorHAnsi" w:cstheme="minorHAnsi"/>
          <w:color w:val="1F3864" w:themeColor="accent1" w:themeShade="80"/>
          <w:sz w:val="22"/>
          <w:szCs w:val="22"/>
        </w:rPr>
      </w:pPr>
      <w:r w:rsidRPr="00DB0726">
        <w:rPr>
          <w:rFonts w:asciiTheme="minorHAnsi" w:hAnsiTheme="minorHAnsi" w:cstheme="minorHAnsi"/>
          <w:color w:val="1F3864" w:themeColor="accent1" w:themeShade="80"/>
          <w:sz w:val="22"/>
          <w:szCs w:val="22"/>
        </w:rPr>
        <w:t xml:space="preserve">Within this architecture, the strategic scope of IGOs can be distilled into a coherent set of </w:t>
      </w:r>
      <w:r w:rsidRPr="00DB0726">
        <w:rPr>
          <w:rFonts w:asciiTheme="minorHAnsi" w:hAnsiTheme="minorHAnsi" w:cstheme="minorHAnsi"/>
          <w:b/>
          <w:bCs/>
          <w:color w:val="1F3864" w:themeColor="accent1" w:themeShade="80"/>
          <w:sz w:val="22"/>
          <w:szCs w:val="22"/>
        </w:rPr>
        <w:t>defined objectives</w:t>
      </w:r>
      <w:r w:rsidRPr="00DB0726">
        <w:rPr>
          <w:rFonts w:asciiTheme="minorHAnsi" w:hAnsiTheme="minorHAnsi" w:cstheme="minorHAnsi"/>
          <w:color w:val="1F3864" w:themeColor="accent1" w:themeShade="80"/>
          <w:sz w:val="22"/>
          <w:szCs w:val="22"/>
        </w:rPr>
        <w:t xml:space="preserve"> that align institutional mandates, normative frameworks, and operational capacities toward the stewardship of marine resources (Biermann et al., 2009; Rochette et al., 2015). These objectives, grouped for analytical clarity, encompass strategic, regulatory, environmental, social, and operational dimensions of action. Across domains—from </w:t>
      </w:r>
      <w:r w:rsidRPr="00DB0726">
        <w:rPr>
          <w:rFonts w:asciiTheme="minorHAnsi" w:hAnsiTheme="minorHAnsi" w:cstheme="minorHAnsi"/>
          <w:b/>
          <w:bCs/>
          <w:color w:val="1F3864" w:themeColor="accent1" w:themeShade="80"/>
          <w:sz w:val="22"/>
          <w:szCs w:val="22"/>
        </w:rPr>
        <w:t>policy formulation</w:t>
      </w:r>
      <w:r w:rsidRPr="00DB0726">
        <w:rPr>
          <w:rFonts w:asciiTheme="minorHAnsi" w:hAnsiTheme="minorHAnsi" w:cstheme="minorHAnsi"/>
          <w:color w:val="1F3864" w:themeColor="accent1" w:themeShade="80"/>
          <w:sz w:val="22"/>
          <w:szCs w:val="22"/>
        </w:rPr>
        <w:t xml:space="preserve"> (Boyle &amp; </w:t>
      </w:r>
      <w:proofErr w:type="spellStart"/>
      <w:r w:rsidRPr="00DB0726">
        <w:rPr>
          <w:rFonts w:asciiTheme="minorHAnsi" w:hAnsiTheme="minorHAnsi" w:cstheme="minorHAnsi"/>
          <w:color w:val="1F3864" w:themeColor="accent1" w:themeShade="80"/>
          <w:sz w:val="22"/>
          <w:szCs w:val="22"/>
        </w:rPr>
        <w:t>Chinkin</w:t>
      </w:r>
      <w:proofErr w:type="spellEnd"/>
      <w:r w:rsidRPr="00DB0726">
        <w:rPr>
          <w:rFonts w:asciiTheme="minorHAnsi" w:hAnsiTheme="minorHAnsi" w:cstheme="minorHAnsi"/>
          <w:color w:val="1F3864" w:themeColor="accent1" w:themeShade="80"/>
          <w:sz w:val="22"/>
          <w:szCs w:val="22"/>
        </w:rPr>
        <w:t xml:space="preserve">, 2007; Tanaka, 2015) to </w:t>
      </w:r>
      <w:r w:rsidRPr="00DB0726">
        <w:rPr>
          <w:rFonts w:asciiTheme="minorHAnsi" w:hAnsiTheme="minorHAnsi" w:cstheme="minorHAnsi"/>
          <w:b/>
          <w:bCs/>
          <w:color w:val="1F3864" w:themeColor="accent1" w:themeShade="80"/>
          <w:sz w:val="22"/>
          <w:szCs w:val="22"/>
        </w:rPr>
        <w:t>environmental protection</w:t>
      </w:r>
      <w:r w:rsidRPr="00DB0726">
        <w:rPr>
          <w:rFonts w:asciiTheme="minorHAnsi" w:hAnsiTheme="minorHAnsi" w:cstheme="minorHAnsi"/>
          <w:color w:val="1F3864" w:themeColor="accent1" w:themeShade="80"/>
          <w:sz w:val="22"/>
          <w:szCs w:val="22"/>
        </w:rPr>
        <w:t xml:space="preserve"> (</w:t>
      </w:r>
      <w:proofErr w:type="spellStart"/>
      <w:r w:rsidRPr="00DB0726">
        <w:rPr>
          <w:rFonts w:asciiTheme="minorHAnsi" w:hAnsiTheme="minorHAnsi" w:cstheme="minorHAnsi"/>
          <w:color w:val="1F3864" w:themeColor="accent1" w:themeShade="80"/>
          <w:sz w:val="22"/>
          <w:szCs w:val="22"/>
        </w:rPr>
        <w:t>Gjerde</w:t>
      </w:r>
      <w:proofErr w:type="spellEnd"/>
      <w:r w:rsidRPr="00DB0726">
        <w:rPr>
          <w:rFonts w:asciiTheme="minorHAnsi" w:hAnsiTheme="minorHAnsi" w:cstheme="minorHAnsi"/>
          <w:color w:val="1F3864" w:themeColor="accent1" w:themeShade="80"/>
          <w:sz w:val="22"/>
          <w:szCs w:val="22"/>
        </w:rPr>
        <w:t> et al., 2008; De Santo et al., 2019)—the literature underscores that effectiveness depends on operationalisation through formal instruments, sustained resourcing, and adaptive learning cycles.</w:t>
      </w:r>
    </w:p>
    <w:p w14:paraId="2ABD4942" w14:textId="77777777" w:rsidR="00DB0726" w:rsidRPr="00DB0726" w:rsidRDefault="00DB0726" w:rsidP="00DB0726">
      <w:pPr>
        <w:jc w:val="both"/>
        <w:rPr>
          <w:rFonts w:asciiTheme="minorHAnsi" w:hAnsiTheme="minorHAnsi" w:cstheme="minorHAnsi"/>
          <w:color w:val="1F3864" w:themeColor="accent1" w:themeShade="80"/>
          <w:sz w:val="22"/>
          <w:szCs w:val="22"/>
        </w:rPr>
      </w:pPr>
      <w:r w:rsidRPr="00DB0726">
        <w:rPr>
          <w:rFonts w:asciiTheme="minorHAnsi" w:hAnsiTheme="minorHAnsi" w:cstheme="minorHAnsi"/>
          <w:color w:val="1F3864" w:themeColor="accent1" w:themeShade="80"/>
          <w:sz w:val="22"/>
          <w:szCs w:val="22"/>
        </w:rPr>
        <w:t>Cross</w:t>
      </w:r>
      <w:r w:rsidRPr="00DB0726">
        <w:rPr>
          <w:rFonts w:asciiTheme="minorHAnsi" w:hAnsiTheme="minorHAnsi" w:cstheme="minorHAnsi"/>
          <w:color w:val="1F3864" w:themeColor="accent1" w:themeShade="80"/>
          <w:sz w:val="22"/>
          <w:szCs w:val="22"/>
        </w:rPr>
        <w:noBreakHyphen/>
        <w:t xml:space="preserve">cutting themes further emerge. </w:t>
      </w:r>
      <w:r w:rsidRPr="00DB0726">
        <w:rPr>
          <w:rFonts w:asciiTheme="minorHAnsi" w:hAnsiTheme="minorHAnsi" w:cstheme="minorHAnsi"/>
          <w:b/>
          <w:bCs/>
          <w:color w:val="1F3864" w:themeColor="accent1" w:themeShade="80"/>
          <w:sz w:val="22"/>
          <w:szCs w:val="22"/>
        </w:rPr>
        <w:t>Knowledge and data infrastructures</w:t>
      </w:r>
      <w:r w:rsidRPr="00DB0726">
        <w:rPr>
          <w:rFonts w:asciiTheme="minorHAnsi" w:hAnsiTheme="minorHAnsi" w:cstheme="minorHAnsi"/>
          <w:color w:val="1F3864" w:themeColor="accent1" w:themeShade="80"/>
          <w:sz w:val="22"/>
          <w:szCs w:val="22"/>
        </w:rPr>
        <w:t xml:space="preserve"> (IOC</w:t>
      </w:r>
      <w:r w:rsidRPr="00DB0726">
        <w:rPr>
          <w:rFonts w:asciiTheme="minorHAnsi" w:hAnsiTheme="minorHAnsi" w:cstheme="minorHAnsi"/>
          <w:color w:val="1F3864" w:themeColor="accent1" w:themeShade="80"/>
          <w:sz w:val="22"/>
          <w:szCs w:val="22"/>
        </w:rPr>
        <w:noBreakHyphen/>
        <w:t xml:space="preserve">UNESCO, 2017; </w:t>
      </w:r>
      <w:proofErr w:type="spellStart"/>
      <w:r w:rsidRPr="00DB0726">
        <w:rPr>
          <w:rFonts w:asciiTheme="minorHAnsi" w:hAnsiTheme="minorHAnsi" w:cstheme="minorHAnsi"/>
          <w:color w:val="1F3864" w:themeColor="accent1" w:themeShade="80"/>
          <w:sz w:val="22"/>
          <w:szCs w:val="22"/>
        </w:rPr>
        <w:t>Prideaux</w:t>
      </w:r>
      <w:proofErr w:type="spellEnd"/>
      <w:r w:rsidRPr="00DB0726">
        <w:rPr>
          <w:rFonts w:asciiTheme="minorHAnsi" w:hAnsiTheme="minorHAnsi" w:cstheme="minorHAnsi"/>
          <w:color w:val="1F3864" w:themeColor="accent1" w:themeShade="80"/>
          <w:sz w:val="22"/>
          <w:szCs w:val="22"/>
        </w:rPr>
        <w:t> et al., 2020) underpin evidence</w:t>
      </w:r>
      <w:r w:rsidRPr="00DB0726">
        <w:rPr>
          <w:rFonts w:asciiTheme="minorHAnsi" w:hAnsiTheme="minorHAnsi" w:cstheme="minorHAnsi"/>
          <w:color w:val="1F3864" w:themeColor="accent1" w:themeShade="80"/>
          <w:sz w:val="22"/>
          <w:szCs w:val="22"/>
        </w:rPr>
        <w:noBreakHyphen/>
        <w:t>based decision</w:t>
      </w:r>
      <w:r w:rsidRPr="00DB0726">
        <w:rPr>
          <w:rFonts w:asciiTheme="minorHAnsi" w:hAnsiTheme="minorHAnsi" w:cstheme="minorHAnsi"/>
          <w:color w:val="1F3864" w:themeColor="accent1" w:themeShade="80"/>
          <w:sz w:val="22"/>
          <w:szCs w:val="22"/>
        </w:rPr>
        <w:noBreakHyphen/>
        <w:t xml:space="preserve">making; </w:t>
      </w:r>
      <w:r w:rsidRPr="00DB0726">
        <w:rPr>
          <w:rFonts w:asciiTheme="minorHAnsi" w:hAnsiTheme="minorHAnsi" w:cstheme="minorHAnsi"/>
          <w:b/>
          <w:bCs/>
          <w:color w:val="1F3864" w:themeColor="accent1" w:themeShade="80"/>
          <w:sz w:val="22"/>
          <w:szCs w:val="22"/>
        </w:rPr>
        <w:t>innovation systems</w:t>
      </w:r>
      <w:r w:rsidRPr="00DB0726">
        <w:rPr>
          <w:rFonts w:asciiTheme="minorHAnsi" w:hAnsiTheme="minorHAnsi" w:cstheme="minorHAnsi"/>
          <w:color w:val="1F3864" w:themeColor="accent1" w:themeShade="80"/>
          <w:sz w:val="22"/>
          <w:szCs w:val="22"/>
        </w:rPr>
        <w:t xml:space="preserve"> (OECD, 2019; Johnson et al., 2018) create new economic and conservation opportunities but demand equitable </w:t>
      </w:r>
      <w:r w:rsidRPr="00DB0726">
        <w:rPr>
          <w:rFonts w:asciiTheme="minorHAnsi" w:hAnsiTheme="minorHAnsi" w:cstheme="minorHAnsi"/>
          <w:color w:val="1F3864" w:themeColor="accent1" w:themeShade="80"/>
          <w:sz w:val="22"/>
          <w:szCs w:val="22"/>
        </w:rPr>
        <w:lastRenderedPageBreak/>
        <w:t xml:space="preserve">access and collaborative governance; </w:t>
      </w:r>
      <w:r w:rsidRPr="00DB0726">
        <w:rPr>
          <w:rFonts w:asciiTheme="minorHAnsi" w:hAnsiTheme="minorHAnsi" w:cstheme="minorHAnsi"/>
          <w:b/>
          <w:bCs/>
          <w:color w:val="1F3864" w:themeColor="accent1" w:themeShade="80"/>
          <w:sz w:val="22"/>
          <w:szCs w:val="22"/>
        </w:rPr>
        <w:t>inclusive governance</w:t>
      </w:r>
      <w:r w:rsidRPr="00DB0726">
        <w:rPr>
          <w:rFonts w:asciiTheme="minorHAnsi" w:hAnsiTheme="minorHAnsi" w:cstheme="minorHAnsi"/>
          <w:color w:val="1F3864" w:themeColor="accent1" w:themeShade="80"/>
          <w:sz w:val="22"/>
          <w:szCs w:val="22"/>
        </w:rPr>
        <w:t xml:space="preserve"> approaches (UN, 2012; Allison et al., 2020) strengthen legitimacy and social resilience; and </w:t>
      </w:r>
      <w:r w:rsidRPr="00DB0726">
        <w:rPr>
          <w:rFonts w:asciiTheme="minorHAnsi" w:hAnsiTheme="minorHAnsi" w:cstheme="minorHAnsi"/>
          <w:b/>
          <w:bCs/>
          <w:color w:val="1F3864" w:themeColor="accent1" w:themeShade="80"/>
          <w:sz w:val="22"/>
          <w:szCs w:val="22"/>
        </w:rPr>
        <w:t>monitoring and accountability</w:t>
      </w:r>
      <w:r w:rsidRPr="00DB0726">
        <w:rPr>
          <w:rFonts w:asciiTheme="minorHAnsi" w:hAnsiTheme="minorHAnsi" w:cstheme="minorHAnsi"/>
          <w:color w:val="1F3864" w:themeColor="accent1" w:themeShade="80"/>
          <w:sz w:val="22"/>
          <w:szCs w:val="22"/>
        </w:rPr>
        <w:t xml:space="preserve"> mechanisms (</w:t>
      </w:r>
      <w:proofErr w:type="spellStart"/>
      <w:r w:rsidRPr="00DB0726">
        <w:rPr>
          <w:rFonts w:asciiTheme="minorHAnsi" w:hAnsiTheme="minorHAnsi" w:cstheme="minorHAnsi"/>
          <w:color w:val="1F3864" w:themeColor="accent1" w:themeShade="80"/>
          <w:sz w:val="22"/>
          <w:szCs w:val="22"/>
        </w:rPr>
        <w:t>Raustiala</w:t>
      </w:r>
      <w:proofErr w:type="spellEnd"/>
      <w:r w:rsidRPr="00DB0726">
        <w:rPr>
          <w:rFonts w:asciiTheme="minorHAnsi" w:hAnsiTheme="minorHAnsi" w:cstheme="minorHAnsi"/>
          <w:color w:val="1F3864" w:themeColor="accent1" w:themeShade="80"/>
          <w:sz w:val="22"/>
          <w:szCs w:val="22"/>
        </w:rPr>
        <w:t xml:space="preserve"> &amp; Slaughter, 2002; Chayes &amp; Chayes, 1995) maintain transparency and adaptive capacity over time.</w:t>
      </w:r>
    </w:p>
    <w:p w14:paraId="3AB02F8F" w14:textId="089CE1A0" w:rsidR="00DB0726" w:rsidRPr="00DB0726" w:rsidRDefault="00DB0726" w:rsidP="00DB0726">
      <w:pPr>
        <w:jc w:val="both"/>
        <w:rPr>
          <w:rFonts w:asciiTheme="minorHAnsi" w:hAnsiTheme="minorHAnsi" w:cstheme="minorHAnsi"/>
          <w:color w:val="1F3864" w:themeColor="accent1" w:themeShade="80"/>
          <w:sz w:val="22"/>
          <w:szCs w:val="22"/>
        </w:rPr>
      </w:pPr>
      <w:r w:rsidRPr="00DB0726">
        <w:rPr>
          <w:rFonts w:asciiTheme="minorHAnsi" w:hAnsiTheme="minorHAnsi" w:cstheme="minorHAnsi"/>
          <w:color w:val="1F3864" w:themeColor="accent1" w:themeShade="80"/>
          <w:sz w:val="22"/>
          <w:szCs w:val="22"/>
        </w:rPr>
        <w:t>In synthesising these streams, the following table categorises ten such objectives alongside representative literature, principal instruments, rationales, and potential impediments—providing a structured lens through which to assess the organisational scope and performance of IGOs in governing the global ocean economy.</w:t>
      </w:r>
    </w:p>
    <w:p w14:paraId="5A9D9D8B" w14:textId="1A5443EC" w:rsidR="000E2582" w:rsidRPr="000E2582" w:rsidRDefault="000E2582" w:rsidP="000E2582">
      <w:pPr>
        <w:rPr>
          <w:rFonts w:asciiTheme="minorHAnsi" w:hAnsiTheme="minorHAnsi" w:cstheme="minorHAnsi"/>
          <w:color w:val="1F3864" w:themeColor="accent1" w:themeShade="80"/>
          <w:sz w:val="22"/>
          <w:szCs w:val="22"/>
        </w:rPr>
      </w:pPr>
    </w:p>
    <w:p w14:paraId="2D1B3E3B" w14:textId="092F3720" w:rsidR="00BE3D82" w:rsidRPr="000E2582" w:rsidRDefault="000E2582" w:rsidP="000E2582">
      <w:pPr>
        <w:rPr>
          <w:rFonts w:asciiTheme="minorHAnsi" w:hAnsiTheme="minorHAnsi" w:cstheme="minorHAnsi"/>
          <w:b/>
          <w:bCs/>
          <w:color w:val="1F3864" w:themeColor="accent1" w:themeShade="80"/>
          <w:sz w:val="22"/>
          <w:szCs w:val="22"/>
        </w:rPr>
      </w:pPr>
      <w:r w:rsidRPr="000E2582">
        <w:rPr>
          <w:rFonts w:asciiTheme="minorHAnsi" w:hAnsiTheme="minorHAnsi" w:cstheme="minorHAnsi"/>
          <w:b/>
          <w:bCs/>
          <w:color w:val="1F3864" w:themeColor="accent1" w:themeShade="80"/>
          <w:sz w:val="22"/>
          <w:szCs w:val="22"/>
        </w:rPr>
        <w:t>Comprehensive Table: Defined Objectives for IGOs in Ocean Economy Governance</w:t>
      </w:r>
    </w:p>
    <w:p w14:paraId="1C1DFAE2" w14:textId="61297446" w:rsidR="00101B62" w:rsidRPr="00101B62" w:rsidRDefault="00101B62" w:rsidP="00101B62">
      <w:pPr>
        <w:rPr>
          <w:rFonts w:asciiTheme="minorHAnsi" w:hAnsiTheme="minorHAnsi" w:cstheme="minorHAnsi"/>
          <w:b/>
          <w:bCs/>
          <w:color w:val="1F3864" w:themeColor="accent1" w:themeShade="80"/>
          <w:sz w:val="22"/>
          <w:szCs w:val="22"/>
        </w:rPr>
      </w:pPr>
    </w:p>
    <w:tbl>
      <w:tblPr>
        <w:tblStyle w:val="TableGrid"/>
        <w:tblW w:w="0" w:type="auto"/>
        <w:tblLook w:val="04A0" w:firstRow="1" w:lastRow="0" w:firstColumn="1" w:lastColumn="0" w:noHBand="0" w:noVBand="1"/>
      </w:tblPr>
      <w:tblGrid>
        <w:gridCol w:w="1325"/>
        <w:gridCol w:w="1723"/>
        <w:gridCol w:w="1857"/>
        <w:gridCol w:w="1234"/>
        <w:gridCol w:w="1423"/>
        <w:gridCol w:w="1454"/>
      </w:tblGrid>
      <w:tr w:rsidR="00101B62" w:rsidRPr="00101B62" w14:paraId="46D47B40" w14:textId="77777777" w:rsidTr="00101B62">
        <w:tc>
          <w:tcPr>
            <w:tcW w:w="0" w:type="auto"/>
            <w:hideMark/>
          </w:tcPr>
          <w:p w14:paraId="452E7ABB"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Defined Objective</w:t>
            </w:r>
          </w:p>
        </w:tc>
        <w:tc>
          <w:tcPr>
            <w:tcW w:w="0" w:type="auto"/>
            <w:hideMark/>
          </w:tcPr>
          <w:p w14:paraId="232739FB"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32E80C7B"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What the Literature Says (Justification)</w:t>
            </w:r>
          </w:p>
        </w:tc>
        <w:tc>
          <w:tcPr>
            <w:tcW w:w="0" w:type="auto"/>
            <w:hideMark/>
          </w:tcPr>
          <w:p w14:paraId="0B338A4D"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Instruments / Sources</w:t>
            </w:r>
          </w:p>
        </w:tc>
        <w:tc>
          <w:tcPr>
            <w:tcW w:w="0" w:type="auto"/>
            <w:hideMark/>
          </w:tcPr>
          <w:p w14:paraId="534D679D"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Rationale for Categorization</w:t>
            </w:r>
          </w:p>
        </w:tc>
        <w:tc>
          <w:tcPr>
            <w:tcW w:w="0" w:type="auto"/>
            <w:hideMark/>
          </w:tcPr>
          <w:p w14:paraId="5B8CE25A"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Potential Impediments to Achievement</w:t>
            </w:r>
          </w:p>
        </w:tc>
      </w:tr>
      <w:tr w:rsidR="00101B62" w:rsidRPr="00101B62" w14:paraId="5B5947A6" w14:textId="77777777" w:rsidTr="00101B62">
        <w:tc>
          <w:tcPr>
            <w:tcW w:w="0" w:type="auto"/>
            <w:hideMark/>
          </w:tcPr>
          <w:p w14:paraId="608916F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Governance &amp; Planning</w:t>
            </w:r>
          </w:p>
        </w:tc>
        <w:tc>
          <w:tcPr>
            <w:tcW w:w="0" w:type="auto"/>
            <w:hideMark/>
          </w:tcPr>
          <w:p w14:paraId="064233CF" w14:textId="77777777" w:rsidR="00101B62" w:rsidRPr="00101B62" w:rsidRDefault="00101B62" w:rsidP="00101B62">
            <w:pPr>
              <w:rPr>
                <w:rFonts w:asciiTheme="minorHAnsi" w:hAnsiTheme="minorHAnsi" w:cstheme="minorHAnsi"/>
                <w:color w:val="1F3864" w:themeColor="accent1" w:themeShade="80"/>
                <w:sz w:val="22"/>
                <w:szCs w:val="22"/>
              </w:rPr>
            </w:pPr>
            <w:hyperlink r:id="rId83" w:history="1">
              <w:r w:rsidRPr="00101B62">
                <w:rPr>
                  <w:rStyle w:val="Hyperlink"/>
                  <w:rFonts w:asciiTheme="minorHAnsi" w:hAnsiTheme="minorHAnsi" w:cstheme="minorHAnsi"/>
                  <w:color w:val="023160" w:themeColor="hyperlink" w:themeShade="80"/>
                  <w:sz w:val="22"/>
                  <w:szCs w:val="22"/>
                </w:rPr>
                <w:t>Biermann et al. (2009)</w:t>
              </w:r>
            </w:hyperlink>
            <w:r w:rsidRPr="00101B62">
              <w:rPr>
                <w:rFonts w:asciiTheme="minorHAnsi" w:hAnsiTheme="minorHAnsi" w:cstheme="minorHAnsi"/>
                <w:color w:val="1F3864" w:themeColor="accent1" w:themeShade="80"/>
                <w:sz w:val="22"/>
                <w:szCs w:val="22"/>
              </w:rPr>
              <w:t xml:space="preserve">; </w:t>
            </w:r>
            <w:hyperlink r:id="rId84" w:history="1">
              <w:r w:rsidRPr="00101B62">
                <w:rPr>
                  <w:rStyle w:val="Hyperlink"/>
                  <w:rFonts w:asciiTheme="minorHAnsi" w:hAnsiTheme="minorHAnsi" w:cstheme="minorHAnsi"/>
                  <w:color w:val="023160" w:themeColor="hyperlink" w:themeShade="80"/>
                  <w:sz w:val="22"/>
                  <w:szCs w:val="22"/>
                </w:rPr>
                <w:t>Rochette et al. (2015)</w:t>
              </w:r>
            </w:hyperlink>
            <w:r w:rsidRPr="00101B62">
              <w:rPr>
                <w:rFonts w:asciiTheme="minorHAnsi" w:hAnsiTheme="minorHAnsi" w:cstheme="minorHAnsi"/>
                <w:color w:val="1F3864" w:themeColor="accent1" w:themeShade="80"/>
                <w:sz w:val="22"/>
                <w:szCs w:val="22"/>
              </w:rPr>
              <w:t xml:space="preserve">; </w:t>
            </w:r>
            <w:hyperlink r:id="rId85" w:history="1">
              <w:r w:rsidRPr="00101B62">
                <w:rPr>
                  <w:rStyle w:val="Hyperlink"/>
                  <w:rFonts w:asciiTheme="minorHAnsi" w:hAnsiTheme="minorHAnsi" w:cstheme="minorHAnsi"/>
                  <w:color w:val="023160" w:themeColor="hyperlink" w:themeShade="80"/>
                  <w:sz w:val="22"/>
                  <w:szCs w:val="22"/>
                </w:rPr>
                <w:t>FAO Strategic Framework 2022–2031</w:t>
              </w:r>
            </w:hyperlink>
          </w:p>
        </w:tc>
        <w:tc>
          <w:tcPr>
            <w:tcW w:w="0" w:type="auto"/>
            <w:hideMark/>
          </w:tcPr>
          <w:p w14:paraId="34CA434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Biermann et al. (2009) underline that strategic coordination is essential for aligning actors, mandates, and resources in complex governance systems; Rochette et al. (2015) highlight institutional frameworks as drivers of coherent marine policy. FAO embeds governance planning as a cornerstone of effective delivery.</w:t>
            </w:r>
          </w:p>
        </w:tc>
        <w:tc>
          <w:tcPr>
            <w:tcW w:w="0" w:type="auto"/>
            <w:hideMark/>
          </w:tcPr>
          <w:p w14:paraId="4E839B50"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Strategic plans, institutional frameworks, coordination platforms</w:t>
            </w:r>
          </w:p>
        </w:tc>
        <w:tc>
          <w:tcPr>
            <w:tcW w:w="0" w:type="auto"/>
            <w:hideMark/>
          </w:tcPr>
          <w:p w14:paraId="29EA1F7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Provides overarching direction and coherence across policy domains in ocean governance.</w:t>
            </w:r>
          </w:p>
        </w:tc>
        <w:tc>
          <w:tcPr>
            <w:tcW w:w="0" w:type="auto"/>
            <w:hideMark/>
          </w:tcPr>
          <w:p w14:paraId="15C5ABB7"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Fragmentation, overlapping mandates, political competition.</w:t>
            </w:r>
          </w:p>
        </w:tc>
      </w:tr>
      <w:tr w:rsidR="00101B62" w:rsidRPr="00101B62" w14:paraId="1D4A4D96" w14:textId="77777777" w:rsidTr="00101B62">
        <w:tc>
          <w:tcPr>
            <w:tcW w:w="0" w:type="auto"/>
            <w:hideMark/>
          </w:tcPr>
          <w:p w14:paraId="0B1E7FAD"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Financial Stewardship</w:t>
            </w:r>
          </w:p>
        </w:tc>
        <w:tc>
          <w:tcPr>
            <w:tcW w:w="0" w:type="auto"/>
            <w:hideMark/>
          </w:tcPr>
          <w:p w14:paraId="2C14D78E" w14:textId="77777777" w:rsidR="00101B62" w:rsidRPr="00101B62" w:rsidRDefault="00101B62" w:rsidP="00101B62">
            <w:pPr>
              <w:rPr>
                <w:rFonts w:asciiTheme="minorHAnsi" w:hAnsiTheme="minorHAnsi" w:cstheme="minorHAnsi"/>
                <w:color w:val="1F3864" w:themeColor="accent1" w:themeShade="80"/>
                <w:sz w:val="22"/>
                <w:szCs w:val="22"/>
              </w:rPr>
            </w:pPr>
            <w:hyperlink r:id="rId86" w:history="1">
              <w:r w:rsidRPr="00101B62">
                <w:rPr>
                  <w:rStyle w:val="Hyperlink"/>
                  <w:rFonts w:asciiTheme="minorHAnsi" w:hAnsiTheme="minorHAnsi" w:cstheme="minorHAnsi"/>
                  <w:color w:val="023160" w:themeColor="hyperlink" w:themeShade="80"/>
                  <w:sz w:val="22"/>
                  <w:szCs w:val="22"/>
                </w:rPr>
                <w:t>UNCTAD (2014)</w:t>
              </w:r>
            </w:hyperlink>
            <w:r w:rsidRPr="00101B62">
              <w:rPr>
                <w:rFonts w:asciiTheme="minorHAnsi" w:hAnsiTheme="minorHAnsi" w:cstheme="minorHAnsi"/>
                <w:color w:val="1F3864" w:themeColor="accent1" w:themeShade="80"/>
                <w:sz w:val="22"/>
                <w:szCs w:val="22"/>
              </w:rPr>
              <w:t xml:space="preserve">; </w:t>
            </w:r>
            <w:hyperlink r:id="rId87" w:history="1">
              <w:r w:rsidRPr="00101B62">
                <w:rPr>
                  <w:rStyle w:val="Hyperlink"/>
                  <w:rFonts w:asciiTheme="minorHAnsi" w:hAnsiTheme="minorHAnsi" w:cstheme="minorHAnsi"/>
                  <w:color w:val="023160" w:themeColor="hyperlink" w:themeShade="80"/>
                  <w:sz w:val="22"/>
                  <w:szCs w:val="22"/>
                </w:rPr>
                <w:t>Sumaila et al. (2020)</w:t>
              </w:r>
            </w:hyperlink>
            <w:r w:rsidRPr="00101B62">
              <w:rPr>
                <w:rFonts w:asciiTheme="minorHAnsi" w:hAnsiTheme="minorHAnsi" w:cstheme="minorHAnsi"/>
                <w:color w:val="1F3864" w:themeColor="accent1" w:themeShade="80"/>
                <w:sz w:val="22"/>
                <w:szCs w:val="22"/>
              </w:rPr>
              <w:t xml:space="preserve">; </w:t>
            </w:r>
            <w:hyperlink r:id="rId88" w:history="1">
              <w:r w:rsidRPr="00101B62">
                <w:rPr>
                  <w:rStyle w:val="Hyperlink"/>
                  <w:rFonts w:asciiTheme="minorHAnsi" w:hAnsiTheme="minorHAnsi" w:cstheme="minorHAnsi"/>
                  <w:color w:val="023160" w:themeColor="hyperlink" w:themeShade="80"/>
                  <w:sz w:val="22"/>
                  <w:szCs w:val="22"/>
                </w:rPr>
                <w:t>IMO Budget 2024–2025</w:t>
              </w:r>
            </w:hyperlink>
          </w:p>
        </w:tc>
        <w:tc>
          <w:tcPr>
            <w:tcW w:w="0" w:type="auto"/>
            <w:hideMark/>
          </w:tcPr>
          <w:p w14:paraId="369E35E8"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 xml:space="preserve">UNCTAD (2014) stresses resource mobilisation as critical for sustainable programmes; Sumaila et al. (2020) examine how economic instruments shape sustainable ocean use; IMO frames fiscal </w:t>
            </w:r>
            <w:r w:rsidRPr="00101B62">
              <w:rPr>
                <w:rFonts w:asciiTheme="minorHAnsi" w:hAnsiTheme="minorHAnsi" w:cstheme="minorHAnsi"/>
                <w:color w:val="1F3864" w:themeColor="accent1" w:themeShade="80"/>
                <w:sz w:val="22"/>
                <w:szCs w:val="22"/>
              </w:rPr>
              <w:lastRenderedPageBreak/>
              <w:t>discipline as foundational to mandate execution.</w:t>
            </w:r>
          </w:p>
        </w:tc>
        <w:tc>
          <w:tcPr>
            <w:tcW w:w="0" w:type="auto"/>
            <w:hideMark/>
          </w:tcPr>
          <w:p w14:paraId="6E86DE85"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lastRenderedPageBreak/>
              <w:t>Budgets, trust funds, financing mechanisms</w:t>
            </w:r>
          </w:p>
        </w:tc>
        <w:tc>
          <w:tcPr>
            <w:tcW w:w="0" w:type="auto"/>
            <w:hideMark/>
          </w:tcPr>
          <w:p w14:paraId="47137AF8"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Ensures availability and accountability of resources for programme delivery.</w:t>
            </w:r>
          </w:p>
        </w:tc>
        <w:tc>
          <w:tcPr>
            <w:tcW w:w="0" w:type="auto"/>
            <w:hideMark/>
          </w:tcPr>
          <w:p w14:paraId="5161501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Donor dependency, funding volatility, mismanagement risks.</w:t>
            </w:r>
          </w:p>
        </w:tc>
      </w:tr>
      <w:tr w:rsidR="00101B62" w:rsidRPr="00101B62" w14:paraId="24D8C3B5" w14:textId="77777777" w:rsidTr="00101B62">
        <w:tc>
          <w:tcPr>
            <w:tcW w:w="0" w:type="auto"/>
            <w:hideMark/>
          </w:tcPr>
          <w:p w14:paraId="468F350E"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lastRenderedPageBreak/>
              <w:t>Policy &amp; Regulation</w:t>
            </w:r>
          </w:p>
        </w:tc>
        <w:tc>
          <w:tcPr>
            <w:tcW w:w="0" w:type="auto"/>
            <w:hideMark/>
          </w:tcPr>
          <w:p w14:paraId="7EF33173" w14:textId="77777777" w:rsidR="00101B62" w:rsidRPr="00101B62" w:rsidRDefault="00101B62" w:rsidP="00101B62">
            <w:pPr>
              <w:rPr>
                <w:rFonts w:asciiTheme="minorHAnsi" w:hAnsiTheme="minorHAnsi" w:cstheme="minorHAnsi"/>
                <w:color w:val="1F3864" w:themeColor="accent1" w:themeShade="80"/>
                <w:sz w:val="22"/>
                <w:szCs w:val="22"/>
              </w:rPr>
            </w:pPr>
            <w:hyperlink r:id="rId89" w:history="1">
              <w:r w:rsidRPr="00101B62">
                <w:rPr>
                  <w:rStyle w:val="Hyperlink"/>
                  <w:rFonts w:asciiTheme="minorHAnsi" w:hAnsiTheme="minorHAnsi" w:cstheme="minorHAnsi"/>
                  <w:color w:val="023160" w:themeColor="hyperlink" w:themeShade="80"/>
                  <w:sz w:val="22"/>
                  <w:szCs w:val="22"/>
                </w:rPr>
                <w:t xml:space="preserve">Boyle &amp; </w:t>
              </w:r>
              <w:proofErr w:type="spellStart"/>
              <w:r w:rsidRPr="00101B62">
                <w:rPr>
                  <w:rStyle w:val="Hyperlink"/>
                  <w:rFonts w:asciiTheme="minorHAnsi" w:hAnsiTheme="minorHAnsi" w:cstheme="minorHAnsi"/>
                  <w:color w:val="023160" w:themeColor="hyperlink" w:themeShade="80"/>
                  <w:sz w:val="22"/>
                  <w:szCs w:val="22"/>
                </w:rPr>
                <w:t>Chinkin</w:t>
              </w:r>
              <w:proofErr w:type="spellEnd"/>
              <w:r w:rsidRPr="00101B62">
                <w:rPr>
                  <w:rStyle w:val="Hyperlink"/>
                  <w:rFonts w:asciiTheme="minorHAnsi" w:hAnsiTheme="minorHAnsi" w:cstheme="minorHAnsi"/>
                  <w:color w:val="023160" w:themeColor="hyperlink" w:themeShade="80"/>
                  <w:sz w:val="22"/>
                  <w:szCs w:val="22"/>
                </w:rPr>
                <w:t> (2007)</w:t>
              </w:r>
            </w:hyperlink>
            <w:r w:rsidRPr="00101B62">
              <w:rPr>
                <w:rFonts w:asciiTheme="minorHAnsi" w:hAnsiTheme="minorHAnsi" w:cstheme="minorHAnsi"/>
                <w:color w:val="1F3864" w:themeColor="accent1" w:themeShade="80"/>
                <w:sz w:val="22"/>
                <w:szCs w:val="22"/>
              </w:rPr>
              <w:t xml:space="preserve">; </w:t>
            </w:r>
            <w:hyperlink r:id="rId90" w:history="1">
              <w:r w:rsidRPr="00101B62">
                <w:rPr>
                  <w:rStyle w:val="Hyperlink"/>
                  <w:rFonts w:asciiTheme="minorHAnsi" w:hAnsiTheme="minorHAnsi" w:cstheme="minorHAnsi"/>
                  <w:color w:val="023160" w:themeColor="hyperlink" w:themeShade="80"/>
                  <w:sz w:val="22"/>
                  <w:szCs w:val="22"/>
                </w:rPr>
                <w:t>Tanaka (2015)</w:t>
              </w:r>
            </w:hyperlink>
            <w:r w:rsidRPr="00101B62">
              <w:rPr>
                <w:rFonts w:asciiTheme="minorHAnsi" w:hAnsiTheme="minorHAnsi" w:cstheme="minorHAnsi"/>
                <w:color w:val="1F3864" w:themeColor="accent1" w:themeShade="80"/>
                <w:sz w:val="22"/>
                <w:szCs w:val="22"/>
              </w:rPr>
              <w:t xml:space="preserve">; </w:t>
            </w:r>
            <w:hyperlink r:id="rId91" w:history="1">
              <w:r w:rsidRPr="00101B62">
                <w:rPr>
                  <w:rStyle w:val="Hyperlink"/>
                  <w:rFonts w:asciiTheme="minorHAnsi" w:hAnsiTheme="minorHAnsi" w:cstheme="minorHAnsi"/>
                  <w:color w:val="023160" w:themeColor="hyperlink" w:themeShade="80"/>
                  <w:sz w:val="22"/>
                  <w:szCs w:val="22"/>
                </w:rPr>
                <w:t>UNCLOS Implementation Review Reports</w:t>
              </w:r>
            </w:hyperlink>
          </w:p>
        </w:tc>
        <w:tc>
          <w:tcPr>
            <w:tcW w:w="0" w:type="auto"/>
            <w:hideMark/>
          </w:tcPr>
          <w:p w14:paraId="52BD0109"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 xml:space="preserve">Boyle &amp; </w:t>
            </w:r>
            <w:proofErr w:type="spellStart"/>
            <w:r w:rsidRPr="00101B62">
              <w:rPr>
                <w:rFonts w:asciiTheme="minorHAnsi" w:hAnsiTheme="minorHAnsi" w:cstheme="minorHAnsi"/>
                <w:color w:val="1F3864" w:themeColor="accent1" w:themeShade="80"/>
                <w:sz w:val="22"/>
                <w:szCs w:val="22"/>
              </w:rPr>
              <w:t>Chinkin</w:t>
            </w:r>
            <w:proofErr w:type="spellEnd"/>
            <w:r w:rsidRPr="00101B62">
              <w:rPr>
                <w:rFonts w:asciiTheme="minorHAnsi" w:hAnsiTheme="minorHAnsi" w:cstheme="minorHAnsi"/>
                <w:color w:val="1F3864" w:themeColor="accent1" w:themeShade="80"/>
                <w:sz w:val="22"/>
                <w:szCs w:val="22"/>
              </w:rPr>
              <w:t> (2007) show how legal norms shape actor behaviour; Tanaka (2015) examines harmonisation under the law of the sea; UNCLOS reviews track state compliance with maritime norms.</w:t>
            </w:r>
          </w:p>
        </w:tc>
        <w:tc>
          <w:tcPr>
            <w:tcW w:w="0" w:type="auto"/>
            <w:hideMark/>
          </w:tcPr>
          <w:p w14:paraId="37DDA4A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Treaties, regulations, guidelines, codes of conduct</w:t>
            </w:r>
          </w:p>
        </w:tc>
        <w:tc>
          <w:tcPr>
            <w:tcW w:w="0" w:type="auto"/>
            <w:hideMark/>
          </w:tcPr>
          <w:p w14:paraId="4D01F068"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Establishes legal and policy frameworks to guide and constrain activity.</w:t>
            </w:r>
          </w:p>
        </w:tc>
        <w:tc>
          <w:tcPr>
            <w:tcW w:w="0" w:type="auto"/>
            <w:hideMark/>
          </w:tcPr>
          <w:p w14:paraId="5E70B4E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Weak compliance, jurisdictional disputes, political resistance.</w:t>
            </w:r>
          </w:p>
        </w:tc>
      </w:tr>
      <w:tr w:rsidR="00101B62" w:rsidRPr="00101B62" w14:paraId="1FE33E02" w14:textId="77777777" w:rsidTr="00101B62">
        <w:tc>
          <w:tcPr>
            <w:tcW w:w="0" w:type="auto"/>
            <w:hideMark/>
          </w:tcPr>
          <w:p w14:paraId="2AD8BCAA"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Environmental Action</w:t>
            </w:r>
          </w:p>
        </w:tc>
        <w:tc>
          <w:tcPr>
            <w:tcW w:w="0" w:type="auto"/>
            <w:hideMark/>
          </w:tcPr>
          <w:p w14:paraId="57CA8B4A" w14:textId="77777777" w:rsidR="00101B62" w:rsidRPr="00101B62" w:rsidRDefault="00101B62" w:rsidP="00101B62">
            <w:pPr>
              <w:rPr>
                <w:rFonts w:asciiTheme="minorHAnsi" w:hAnsiTheme="minorHAnsi" w:cstheme="minorHAnsi"/>
                <w:color w:val="1F3864" w:themeColor="accent1" w:themeShade="80"/>
                <w:sz w:val="22"/>
                <w:szCs w:val="22"/>
              </w:rPr>
            </w:pPr>
            <w:hyperlink r:id="rId92" w:history="1">
              <w:proofErr w:type="spellStart"/>
              <w:r w:rsidRPr="00101B62">
                <w:rPr>
                  <w:rStyle w:val="Hyperlink"/>
                  <w:rFonts w:asciiTheme="minorHAnsi" w:hAnsiTheme="minorHAnsi" w:cstheme="minorHAnsi"/>
                  <w:color w:val="023160" w:themeColor="hyperlink" w:themeShade="80"/>
                  <w:sz w:val="22"/>
                  <w:szCs w:val="22"/>
                </w:rPr>
                <w:t>Gjerde</w:t>
              </w:r>
              <w:proofErr w:type="spellEnd"/>
              <w:r w:rsidRPr="00101B62">
                <w:rPr>
                  <w:rStyle w:val="Hyperlink"/>
                  <w:rFonts w:asciiTheme="minorHAnsi" w:hAnsiTheme="minorHAnsi" w:cstheme="minorHAnsi"/>
                  <w:color w:val="023160" w:themeColor="hyperlink" w:themeShade="80"/>
                  <w:sz w:val="22"/>
                  <w:szCs w:val="22"/>
                </w:rPr>
                <w:t xml:space="preserve"> et al. (2008)</w:t>
              </w:r>
            </w:hyperlink>
            <w:r w:rsidRPr="00101B62">
              <w:rPr>
                <w:rFonts w:asciiTheme="minorHAnsi" w:hAnsiTheme="minorHAnsi" w:cstheme="minorHAnsi"/>
                <w:color w:val="1F3864" w:themeColor="accent1" w:themeShade="80"/>
                <w:sz w:val="22"/>
                <w:szCs w:val="22"/>
              </w:rPr>
              <w:t xml:space="preserve">; </w:t>
            </w:r>
            <w:hyperlink r:id="rId93" w:history="1">
              <w:r w:rsidRPr="00101B62">
                <w:rPr>
                  <w:rStyle w:val="Hyperlink"/>
                  <w:rFonts w:asciiTheme="minorHAnsi" w:hAnsiTheme="minorHAnsi" w:cstheme="minorHAnsi"/>
                  <w:color w:val="023160" w:themeColor="hyperlink" w:themeShade="80"/>
                  <w:sz w:val="22"/>
                  <w:szCs w:val="22"/>
                </w:rPr>
                <w:t>De Santo et al. (2019)</w:t>
              </w:r>
            </w:hyperlink>
            <w:r w:rsidRPr="00101B62">
              <w:rPr>
                <w:rFonts w:asciiTheme="minorHAnsi" w:hAnsiTheme="minorHAnsi" w:cstheme="minorHAnsi"/>
                <w:color w:val="1F3864" w:themeColor="accent1" w:themeShade="80"/>
                <w:sz w:val="22"/>
                <w:szCs w:val="22"/>
              </w:rPr>
              <w:t xml:space="preserve">; </w:t>
            </w:r>
            <w:hyperlink r:id="rId94" w:history="1">
              <w:r w:rsidRPr="00101B62">
                <w:rPr>
                  <w:rStyle w:val="Hyperlink"/>
                  <w:rFonts w:asciiTheme="minorHAnsi" w:hAnsiTheme="minorHAnsi" w:cstheme="minorHAnsi"/>
                  <w:color w:val="023160" w:themeColor="hyperlink" w:themeShade="80"/>
                  <w:sz w:val="22"/>
                  <w:szCs w:val="22"/>
                </w:rPr>
                <w:t>CBD COP15 Outcome Document</w:t>
              </w:r>
            </w:hyperlink>
          </w:p>
        </w:tc>
        <w:tc>
          <w:tcPr>
            <w:tcW w:w="0" w:type="auto"/>
            <w:hideMark/>
          </w:tcPr>
          <w:p w14:paraId="104E854E" w14:textId="77777777" w:rsidR="00101B62" w:rsidRPr="00101B62" w:rsidRDefault="00101B62" w:rsidP="00101B62">
            <w:pPr>
              <w:rPr>
                <w:rFonts w:asciiTheme="minorHAnsi" w:hAnsiTheme="minorHAnsi" w:cstheme="minorHAnsi"/>
                <w:color w:val="1F3864" w:themeColor="accent1" w:themeShade="80"/>
                <w:sz w:val="22"/>
                <w:szCs w:val="22"/>
              </w:rPr>
            </w:pPr>
            <w:proofErr w:type="spellStart"/>
            <w:r w:rsidRPr="00101B62">
              <w:rPr>
                <w:rFonts w:asciiTheme="minorHAnsi" w:hAnsiTheme="minorHAnsi" w:cstheme="minorHAnsi"/>
                <w:color w:val="1F3864" w:themeColor="accent1" w:themeShade="80"/>
                <w:sz w:val="22"/>
                <w:szCs w:val="22"/>
              </w:rPr>
              <w:t>Gjerde</w:t>
            </w:r>
            <w:proofErr w:type="spellEnd"/>
            <w:r w:rsidRPr="00101B62">
              <w:rPr>
                <w:rFonts w:asciiTheme="minorHAnsi" w:hAnsiTheme="minorHAnsi" w:cstheme="minorHAnsi"/>
                <w:color w:val="1F3864" w:themeColor="accent1" w:themeShade="80"/>
                <w:sz w:val="22"/>
                <w:szCs w:val="22"/>
              </w:rPr>
              <w:t> et al. (2008) highlight conservation and sustainable use as core governance imperatives; De Santo et al. (2019) stress addressing governance gaps in marine protection; CBD COP15 outlines global biodiversity commitments.</w:t>
            </w:r>
          </w:p>
        </w:tc>
        <w:tc>
          <w:tcPr>
            <w:tcW w:w="0" w:type="auto"/>
            <w:hideMark/>
          </w:tcPr>
          <w:p w14:paraId="2F5CB8A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MPAs, restoration programmes, pollution control measures</w:t>
            </w:r>
          </w:p>
        </w:tc>
        <w:tc>
          <w:tcPr>
            <w:tcW w:w="0" w:type="auto"/>
            <w:hideMark/>
          </w:tcPr>
          <w:p w14:paraId="1323FAA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Protects biodiversity and ecological processes vital to the ocean economy.</w:t>
            </w:r>
          </w:p>
        </w:tc>
        <w:tc>
          <w:tcPr>
            <w:tcW w:w="0" w:type="auto"/>
            <w:hideMark/>
          </w:tcPr>
          <w:p w14:paraId="66532C9C"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Conflicting economic interests, insufficient enforcement capacity.</w:t>
            </w:r>
          </w:p>
        </w:tc>
      </w:tr>
      <w:tr w:rsidR="00101B62" w:rsidRPr="00101B62" w14:paraId="2DF2C709" w14:textId="77777777" w:rsidTr="00101B62">
        <w:tc>
          <w:tcPr>
            <w:tcW w:w="0" w:type="auto"/>
            <w:hideMark/>
          </w:tcPr>
          <w:p w14:paraId="6BCE845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Knowledge &amp; Data</w:t>
            </w:r>
          </w:p>
        </w:tc>
        <w:tc>
          <w:tcPr>
            <w:tcW w:w="0" w:type="auto"/>
            <w:hideMark/>
          </w:tcPr>
          <w:p w14:paraId="6CB76DCB" w14:textId="77777777" w:rsidR="00101B62" w:rsidRPr="00101B62" w:rsidRDefault="00101B62" w:rsidP="00101B62">
            <w:pPr>
              <w:rPr>
                <w:rFonts w:asciiTheme="minorHAnsi" w:hAnsiTheme="minorHAnsi" w:cstheme="minorHAnsi"/>
                <w:color w:val="1F3864" w:themeColor="accent1" w:themeShade="80"/>
                <w:sz w:val="22"/>
                <w:szCs w:val="22"/>
              </w:rPr>
            </w:pPr>
            <w:hyperlink r:id="rId95" w:history="1">
              <w:r w:rsidRPr="00101B62">
                <w:rPr>
                  <w:rStyle w:val="Hyperlink"/>
                  <w:rFonts w:asciiTheme="minorHAnsi" w:hAnsiTheme="minorHAnsi" w:cstheme="minorHAnsi"/>
                  <w:color w:val="023160" w:themeColor="hyperlink" w:themeShade="80"/>
                  <w:sz w:val="22"/>
                  <w:szCs w:val="22"/>
                </w:rPr>
                <w:t>IOC</w:t>
              </w:r>
              <w:r w:rsidRPr="00101B62">
                <w:rPr>
                  <w:rStyle w:val="Hyperlink"/>
                  <w:rFonts w:asciiTheme="minorHAnsi" w:hAnsiTheme="minorHAnsi" w:cstheme="minorHAnsi"/>
                  <w:color w:val="023160" w:themeColor="hyperlink" w:themeShade="80"/>
                  <w:sz w:val="22"/>
                  <w:szCs w:val="22"/>
                </w:rPr>
                <w:noBreakHyphen/>
                <w:t>UNESCO (2017)</w:t>
              </w:r>
            </w:hyperlink>
            <w:r w:rsidRPr="00101B62">
              <w:rPr>
                <w:rFonts w:asciiTheme="minorHAnsi" w:hAnsiTheme="minorHAnsi" w:cstheme="minorHAnsi"/>
                <w:color w:val="1F3864" w:themeColor="accent1" w:themeShade="80"/>
                <w:sz w:val="22"/>
                <w:szCs w:val="22"/>
              </w:rPr>
              <w:t xml:space="preserve">; </w:t>
            </w:r>
            <w:hyperlink r:id="rId96" w:history="1">
              <w:proofErr w:type="spellStart"/>
              <w:r w:rsidRPr="00101B62">
                <w:rPr>
                  <w:rStyle w:val="Hyperlink"/>
                  <w:rFonts w:asciiTheme="minorHAnsi" w:hAnsiTheme="minorHAnsi" w:cstheme="minorHAnsi"/>
                  <w:color w:val="023160" w:themeColor="hyperlink" w:themeShade="80"/>
                  <w:sz w:val="22"/>
                  <w:szCs w:val="22"/>
                </w:rPr>
                <w:t>Prideaux</w:t>
              </w:r>
              <w:proofErr w:type="spellEnd"/>
              <w:r w:rsidRPr="00101B62">
                <w:rPr>
                  <w:rStyle w:val="Hyperlink"/>
                  <w:rFonts w:asciiTheme="minorHAnsi" w:hAnsiTheme="minorHAnsi" w:cstheme="minorHAnsi"/>
                  <w:color w:val="023160" w:themeColor="hyperlink" w:themeShade="80"/>
                  <w:sz w:val="22"/>
                  <w:szCs w:val="22"/>
                </w:rPr>
                <w:t xml:space="preserve"> et al. (2020)</w:t>
              </w:r>
            </w:hyperlink>
            <w:r w:rsidRPr="00101B62">
              <w:rPr>
                <w:rFonts w:asciiTheme="minorHAnsi" w:hAnsiTheme="minorHAnsi" w:cstheme="minorHAnsi"/>
                <w:color w:val="1F3864" w:themeColor="accent1" w:themeShade="80"/>
                <w:sz w:val="22"/>
                <w:szCs w:val="22"/>
              </w:rPr>
              <w:t xml:space="preserve">; </w:t>
            </w:r>
            <w:hyperlink r:id="rId97" w:history="1">
              <w:r w:rsidRPr="00101B62">
                <w:rPr>
                  <w:rStyle w:val="Hyperlink"/>
                  <w:rFonts w:asciiTheme="minorHAnsi" w:hAnsiTheme="minorHAnsi" w:cstheme="minorHAnsi"/>
                  <w:color w:val="023160" w:themeColor="hyperlink" w:themeShade="80"/>
                  <w:sz w:val="22"/>
                  <w:szCs w:val="22"/>
                </w:rPr>
                <w:t>UN Ocean Decade Implementation Plan</w:t>
              </w:r>
            </w:hyperlink>
          </w:p>
        </w:tc>
        <w:tc>
          <w:tcPr>
            <w:tcW w:w="0" w:type="auto"/>
            <w:hideMark/>
          </w:tcPr>
          <w:p w14:paraId="53FBF88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IOC</w:t>
            </w:r>
            <w:r w:rsidRPr="00101B62">
              <w:rPr>
                <w:rFonts w:asciiTheme="minorHAnsi" w:hAnsiTheme="minorHAnsi" w:cstheme="minorHAnsi"/>
                <w:color w:val="1F3864" w:themeColor="accent1" w:themeShade="80"/>
                <w:sz w:val="22"/>
                <w:szCs w:val="22"/>
              </w:rPr>
              <w:noBreakHyphen/>
              <w:t>UNESCO (2017) calls for knowledge</w:t>
            </w:r>
            <w:r w:rsidRPr="00101B62">
              <w:rPr>
                <w:rFonts w:asciiTheme="minorHAnsi" w:hAnsiTheme="minorHAnsi" w:cstheme="minorHAnsi"/>
                <w:color w:val="1F3864" w:themeColor="accent1" w:themeShade="80"/>
                <w:sz w:val="22"/>
                <w:szCs w:val="22"/>
              </w:rPr>
              <w:noBreakHyphen/>
              <w:t xml:space="preserve">based governance; </w:t>
            </w:r>
            <w:proofErr w:type="spellStart"/>
            <w:r w:rsidRPr="00101B62">
              <w:rPr>
                <w:rFonts w:asciiTheme="minorHAnsi" w:hAnsiTheme="minorHAnsi" w:cstheme="minorHAnsi"/>
                <w:color w:val="1F3864" w:themeColor="accent1" w:themeShade="80"/>
                <w:sz w:val="22"/>
                <w:szCs w:val="22"/>
              </w:rPr>
              <w:t>Prideaux</w:t>
            </w:r>
            <w:proofErr w:type="spellEnd"/>
            <w:r w:rsidRPr="00101B62">
              <w:rPr>
                <w:rFonts w:asciiTheme="minorHAnsi" w:hAnsiTheme="minorHAnsi" w:cstheme="minorHAnsi"/>
                <w:color w:val="1F3864" w:themeColor="accent1" w:themeShade="80"/>
                <w:sz w:val="22"/>
                <w:szCs w:val="22"/>
              </w:rPr>
              <w:t> et al. (2020) emphasise participatory research; the Ocean Decade plan promotes global data sharing.</w:t>
            </w:r>
          </w:p>
        </w:tc>
        <w:tc>
          <w:tcPr>
            <w:tcW w:w="0" w:type="auto"/>
            <w:hideMark/>
          </w:tcPr>
          <w:p w14:paraId="0479857F"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Research programmes, data repositories, monitoring systems</w:t>
            </w:r>
          </w:p>
        </w:tc>
        <w:tc>
          <w:tcPr>
            <w:tcW w:w="0" w:type="auto"/>
            <w:hideMark/>
          </w:tcPr>
          <w:p w14:paraId="45030CB0"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Improves decision</w:t>
            </w:r>
            <w:r w:rsidRPr="00101B62">
              <w:rPr>
                <w:rFonts w:asciiTheme="minorHAnsi" w:hAnsiTheme="minorHAnsi" w:cstheme="minorHAnsi"/>
                <w:color w:val="1F3864" w:themeColor="accent1" w:themeShade="80"/>
                <w:sz w:val="22"/>
                <w:szCs w:val="22"/>
              </w:rPr>
              <w:noBreakHyphen/>
              <w:t>making quality, transparency, and foresight.</w:t>
            </w:r>
          </w:p>
        </w:tc>
        <w:tc>
          <w:tcPr>
            <w:tcW w:w="0" w:type="auto"/>
            <w:hideMark/>
          </w:tcPr>
          <w:p w14:paraId="210A949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Data gaps, inconsistent methodologies, restricted access.</w:t>
            </w:r>
          </w:p>
        </w:tc>
      </w:tr>
      <w:tr w:rsidR="00101B62" w:rsidRPr="00101B62" w14:paraId="497381D0" w14:textId="77777777" w:rsidTr="00101B62">
        <w:tc>
          <w:tcPr>
            <w:tcW w:w="0" w:type="auto"/>
            <w:hideMark/>
          </w:tcPr>
          <w:p w14:paraId="55CA72DE"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Innovation &amp; Technology</w:t>
            </w:r>
          </w:p>
        </w:tc>
        <w:tc>
          <w:tcPr>
            <w:tcW w:w="0" w:type="auto"/>
            <w:hideMark/>
          </w:tcPr>
          <w:p w14:paraId="52A59D3E" w14:textId="77777777" w:rsidR="00101B62" w:rsidRPr="00101B62" w:rsidRDefault="00101B62" w:rsidP="00101B62">
            <w:pPr>
              <w:rPr>
                <w:rFonts w:asciiTheme="minorHAnsi" w:hAnsiTheme="minorHAnsi" w:cstheme="minorHAnsi"/>
                <w:color w:val="1F3864" w:themeColor="accent1" w:themeShade="80"/>
                <w:sz w:val="22"/>
                <w:szCs w:val="22"/>
              </w:rPr>
            </w:pPr>
            <w:hyperlink r:id="rId98" w:history="1">
              <w:r w:rsidRPr="00101B62">
                <w:rPr>
                  <w:rStyle w:val="Hyperlink"/>
                  <w:rFonts w:asciiTheme="minorHAnsi" w:hAnsiTheme="minorHAnsi" w:cstheme="minorHAnsi"/>
                  <w:color w:val="023160" w:themeColor="hyperlink" w:themeShade="80"/>
                  <w:sz w:val="22"/>
                  <w:szCs w:val="22"/>
                </w:rPr>
                <w:t>OECD (2019)</w:t>
              </w:r>
            </w:hyperlink>
            <w:r w:rsidRPr="00101B62">
              <w:rPr>
                <w:rFonts w:asciiTheme="minorHAnsi" w:hAnsiTheme="minorHAnsi" w:cstheme="minorHAnsi"/>
                <w:color w:val="1F3864" w:themeColor="accent1" w:themeShade="80"/>
                <w:sz w:val="22"/>
                <w:szCs w:val="22"/>
              </w:rPr>
              <w:t xml:space="preserve">; </w:t>
            </w:r>
            <w:hyperlink r:id="rId99" w:history="1">
              <w:r w:rsidRPr="00101B62">
                <w:rPr>
                  <w:rStyle w:val="Hyperlink"/>
                  <w:rFonts w:asciiTheme="minorHAnsi" w:hAnsiTheme="minorHAnsi" w:cstheme="minorHAnsi"/>
                  <w:color w:val="023160" w:themeColor="hyperlink" w:themeShade="80"/>
                  <w:sz w:val="22"/>
                  <w:szCs w:val="22"/>
                </w:rPr>
                <w:t>Johnson et al. (2018)</w:t>
              </w:r>
            </w:hyperlink>
            <w:r w:rsidRPr="00101B62">
              <w:rPr>
                <w:rFonts w:asciiTheme="minorHAnsi" w:hAnsiTheme="minorHAnsi" w:cstheme="minorHAnsi"/>
                <w:color w:val="1F3864" w:themeColor="accent1" w:themeShade="80"/>
                <w:sz w:val="22"/>
                <w:szCs w:val="22"/>
              </w:rPr>
              <w:t xml:space="preserve">; </w:t>
            </w:r>
            <w:hyperlink r:id="rId100" w:history="1">
              <w:r w:rsidRPr="00101B62">
                <w:rPr>
                  <w:rStyle w:val="Hyperlink"/>
                  <w:rFonts w:asciiTheme="minorHAnsi" w:hAnsiTheme="minorHAnsi" w:cstheme="minorHAnsi"/>
                  <w:color w:val="023160" w:themeColor="hyperlink" w:themeShade="80"/>
                  <w:sz w:val="22"/>
                  <w:szCs w:val="22"/>
                </w:rPr>
                <w:t>World Bank Blue Economy Framework (2021)</w:t>
              </w:r>
            </w:hyperlink>
          </w:p>
        </w:tc>
        <w:tc>
          <w:tcPr>
            <w:tcW w:w="0" w:type="auto"/>
            <w:hideMark/>
          </w:tcPr>
          <w:p w14:paraId="368E314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 xml:space="preserve">OECD (2019) links innovation to sustainable growth; Johnson et al. (2018) assess technology’s role </w:t>
            </w:r>
            <w:r w:rsidRPr="00101B62">
              <w:rPr>
                <w:rFonts w:asciiTheme="minorHAnsi" w:hAnsiTheme="minorHAnsi" w:cstheme="minorHAnsi"/>
                <w:color w:val="1F3864" w:themeColor="accent1" w:themeShade="80"/>
                <w:sz w:val="22"/>
                <w:szCs w:val="22"/>
              </w:rPr>
              <w:lastRenderedPageBreak/>
              <w:t>in fisheries management; the World Bank promotes equitable tech transfer.</w:t>
            </w:r>
          </w:p>
        </w:tc>
        <w:tc>
          <w:tcPr>
            <w:tcW w:w="0" w:type="auto"/>
            <w:hideMark/>
          </w:tcPr>
          <w:p w14:paraId="080493BC"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lastRenderedPageBreak/>
              <w:t>Technology transfer agreements, innovation hubs, pilot projects</w:t>
            </w:r>
          </w:p>
        </w:tc>
        <w:tc>
          <w:tcPr>
            <w:tcW w:w="0" w:type="auto"/>
            <w:hideMark/>
          </w:tcPr>
          <w:p w14:paraId="32A45635"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Fosters competitiveness and sustainability in the blue economy.</w:t>
            </w:r>
          </w:p>
        </w:tc>
        <w:tc>
          <w:tcPr>
            <w:tcW w:w="0" w:type="auto"/>
            <w:hideMark/>
          </w:tcPr>
          <w:p w14:paraId="658C10F5"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High costs, unequal access, technology lock</w:t>
            </w:r>
            <w:r w:rsidRPr="00101B62">
              <w:rPr>
                <w:rFonts w:asciiTheme="minorHAnsi" w:hAnsiTheme="minorHAnsi" w:cstheme="minorHAnsi"/>
                <w:color w:val="1F3864" w:themeColor="accent1" w:themeShade="80"/>
                <w:sz w:val="22"/>
                <w:szCs w:val="22"/>
              </w:rPr>
              <w:noBreakHyphen/>
              <w:t>in.</w:t>
            </w:r>
          </w:p>
        </w:tc>
      </w:tr>
      <w:tr w:rsidR="00101B62" w:rsidRPr="00101B62" w14:paraId="08DBD4AA" w14:textId="77777777" w:rsidTr="00101B62">
        <w:tc>
          <w:tcPr>
            <w:tcW w:w="0" w:type="auto"/>
            <w:hideMark/>
          </w:tcPr>
          <w:p w14:paraId="6F47D73C"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Inclusion &amp; Rights</w:t>
            </w:r>
          </w:p>
        </w:tc>
        <w:tc>
          <w:tcPr>
            <w:tcW w:w="0" w:type="auto"/>
            <w:hideMark/>
          </w:tcPr>
          <w:p w14:paraId="32190E5C" w14:textId="77777777" w:rsidR="00101B62" w:rsidRPr="00101B62" w:rsidRDefault="00101B62" w:rsidP="00101B62">
            <w:pPr>
              <w:rPr>
                <w:rFonts w:asciiTheme="minorHAnsi" w:hAnsiTheme="minorHAnsi" w:cstheme="minorHAnsi"/>
                <w:color w:val="1F3864" w:themeColor="accent1" w:themeShade="80"/>
                <w:sz w:val="22"/>
                <w:szCs w:val="22"/>
              </w:rPr>
            </w:pPr>
            <w:hyperlink r:id="rId101" w:history="1">
              <w:r w:rsidRPr="00101B62">
                <w:rPr>
                  <w:rStyle w:val="Hyperlink"/>
                  <w:rFonts w:asciiTheme="minorHAnsi" w:hAnsiTheme="minorHAnsi" w:cstheme="minorHAnsi"/>
                  <w:color w:val="023160" w:themeColor="hyperlink" w:themeShade="80"/>
                  <w:sz w:val="22"/>
                  <w:szCs w:val="22"/>
                </w:rPr>
                <w:t>UN (2012)</w:t>
              </w:r>
            </w:hyperlink>
            <w:r w:rsidRPr="00101B62">
              <w:rPr>
                <w:rFonts w:asciiTheme="minorHAnsi" w:hAnsiTheme="minorHAnsi" w:cstheme="minorHAnsi"/>
                <w:color w:val="1F3864" w:themeColor="accent1" w:themeShade="80"/>
                <w:sz w:val="22"/>
                <w:szCs w:val="22"/>
              </w:rPr>
              <w:t xml:space="preserve">; </w:t>
            </w:r>
            <w:hyperlink r:id="rId102" w:history="1">
              <w:r w:rsidRPr="00101B62">
                <w:rPr>
                  <w:rStyle w:val="Hyperlink"/>
                  <w:rFonts w:asciiTheme="minorHAnsi" w:hAnsiTheme="minorHAnsi" w:cstheme="minorHAnsi"/>
                  <w:color w:val="023160" w:themeColor="hyperlink" w:themeShade="80"/>
                  <w:sz w:val="22"/>
                  <w:szCs w:val="22"/>
                </w:rPr>
                <w:t>Allison et al. (2020)</w:t>
              </w:r>
            </w:hyperlink>
            <w:r w:rsidRPr="00101B62">
              <w:rPr>
                <w:rFonts w:asciiTheme="minorHAnsi" w:hAnsiTheme="minorHAnsi" w:cstheme="minorHAnsi"/>
                <w:color w:val="1F3864" w:themeColor="accent1" w:themeShade="80"/>
                <w:sz w:val="22"/>
                <w:szCs w:val="22"/>
              </w:rPr>
              <w:t xml:space="preserve">; </w:t>
            </w:r>
            <w:hyperlink r:id="rId103" w:history="1">
              <w:r w:rsidRPr="00101B62">
                <w:rPr>
                  <w:rStyle w:val="Hyperlink"/>
                  <w:rFonts w:asciiTheme="minorHAnsi" w:hAnsiTheme="minorHAnsi" w:cstheme="minorHAnsi"/>
                  <w:color w:val="023160" w:themeColor="hyperlink" w:themeShade="80"/>
                  <w:sz w:val="22"/>
                  <w:szCs w:val="22"/>
                </w:rPr>
                <w:t>FAO SSF Guidelines (2015)</w:t>
              </w:r>
            </w:hyperlink>
          </w:p>
        </w:tc>
        <w:tc>
          <w:tcPr>
            <w:tcW w:w="0" w:type="auto"/>
            <w:hideMark/>
          </w:tcPr>
          <w:p w14:paraId="0648B91D"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UN (2012) mainstreams equality in development; Allison et al. (2020) link social justice to fisheries resilience; FAO guidelines embed rights and inclusion in governance.</w:t>
            </w:r>
          </w:p>
        </w:tc>
        <w:tc>
          <w:tcPr>
            <w:tcW w:w="0" w:type="auto"/>
            <w:hideMark/>
          </w:tcPr>
          <w:p w14:paraId="2EF2514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Participation frameworks, human rights instruments, gender policies</w:t>
            </w:r>
          </w:p>
        </w:tc>
        <w:tc>
          <w:tcPr>
            <w:tcW w:w="0" w:type="auto"/>
            <w:hideMark/>
          </w:tcPr>
          <w:p w14:paraId="2124A5B3"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Promotes legitimacy, fairness, and social resilience.</w:t>
            </w:r>
          </w:p>
        </w:tc>
        <w:tc>
          <w:tcPr>
            <w:tcW w:w="0" w:type="auto"/>
            <w:hideMark/>
          </w:tcPr>
          <w:p w14:paraId="15F5918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Structural inequities, cultural barriers, resistance to inclusion.</w:t>
            </w:r>
          </w:p>
        </w:tc>
      </w:tr>
      <w:tr w:rsidR="00101B62" w:rsidRPr="00101B62" w14:paraId="11A517C6" w14:textId="77777777" w:rsidTr="00101B62">
        <w:tc>
          <w:tcPr>
            <w:tcW w:w="0" w:type="auto"/>
            <w:hideMark/>
          </w:tcPr>
          <w:p w14:paraId="747A2637"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Partnerships &amp; Networks</w:t>
            </w:r>
          </w:p>
        </w:tc>
        <w:tc>
          <w:tcPr>
            <w:tcW w:w="0" w:type="auto"/>
            <w:hideMark/>
          </w:tcPr>
          <w:p w14:paraId="0D190F7C" w14:textId="77777777" w:rsidR="00101B62" w:rsidRPr="00101B62" w:rsidRDefault="00101B62" w:rsidP="00101B62">
            <w:pPr>
              <w:rPr>
                <w:rFonts w:asciiTheme="minorHAnsi" w:hAnsiTheme="minorHAnsi" w:cstheme="minorHAnsi"/>
                <w:color w:val="1F3864" w:themeColor="accent1" w:themeShade="80"/>
                <w:sz w:val="22"/>
                <w:szCs w:val="22"/>
              </w:rPr>
            </w:pPr>
            <w:hyperlink r:id="rId104" w:history="1">
              <w:r w:rsidRPr="00101B62">
                <w:rPr>
                  <w:rStyle w:val="Hyperlink"/>
                  <w:rFonts w:asciiTheme="minorHAnsi" w:hAnsiTheme="minorHAnsi" w:cstheme="minorHAnsi"/>
                  <w:color w:val="023160" w:themeColor="hyperlink" w:themeShade="80"/>
                  <w:sz w:val="22"/>
                  <w:szCs w:val="22"/>
                </w:rPr>
                <w:t>Berkes (2012)</w:t>
              </w:r>
            </w:hyperlink>
            <w:r w:rsidRPr="00101B62">
              <w:rPr>
                <w:rFonts w:asciiTheme="minorHAnsi" w:hAnsiTheme="minorHAnsi" w:cstheme="minorHAnsi"/>
                <w:color w:val="1F3864" w:themeColor="accent1" w:themeShade="80"/>
                <w:sz w:val="22"/>
                <w:szCs w:val="22"/>
              </w:rPr>
              <w:t xml:space="preserve">; </w:t>
            </w:r>
            <w:hyperlink r:id="rId105" w:history="1">
              <w:r w:rsidRPr="00101B62">
                <w:rPr>
                  <w:rStyle w:val="Hyperlink"/>
                  <w:rFonts w:asciiTheme="minorHAnsi" w:hAnsiTheme="minorHAnsi" w:cstheme="minorHAnsi"/>
                  <w:color w:val="023160" w:themeColor="hyperlink" w:themeShade="80"/>
                  <w:sz w:val="22"/>
                  <w:szCs w:val="22"/>
                </w:rPr>
                <w:t>UNEP (2016)</w:t>
              </w:r>
            </w:hyperlink>
            <w:r w:rsidRPr="00101B62">
              <w:rPr>
                <w:rFonts w:asciiTheme="minorHAnsi" w:hAnsiTheme="minorHAnsi" w:cstheme="minorHAnsi"/>
                <w:color w:val="1F3864" w:themeColor="accent1" w:themeShade="80"/>
                <w:sz w:val="22"/>
                <w:szCs w:val="22"/>
              </w:rPr>
              <w:t xml:space="preserve">; </w:t>
            </w:r>
            <w:hyperlink r:id="rId106" w:history="1">
              <w:r w:rsidRPr="00101B62">
                <w:rPr>
                  <w:rStyle w:val="Hyperlink"/>
                  <w:rFonts w:asciiTheme="minorHAnsi" w:hAnsiTheme="minorHAnsi" w:cstheme="minorHAnsi"/>
                  <w:color w:val="023160" w:themeColor="hyperlink" w:themeShade="80"/>
                  <w:sz w:val="22"/>
                  <w:szCs w:val="22"/>
                </w:rPr>
                <w:t>UN Ocean Conference Partnerships</w:t>
              </w:r>
            </w:hyperlink>
          </w:p>
        </w:tc>
        <w:tc>
          <w:tcPr>
            <w:tcW w:w="0" w:type="auto"/>
            <w:hideMark/>
          </w:tcPr>
          <w:p w14:paraId="1573B32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Berkes (2012) identifies networks as central to multi</w:t>
            </w:r>
            <w:r w:rsidRPr="00101B62">
              <w:rPr>
                <w:rFonts w:asciiTheme="minorHAnsi" w:hAnsiTheme="minorHAnsi" w:cstheme="minorHAnsi"/>
                <w:color w:val="1F3864" w:themeColor="accent1" w:themeShade="80"/>
                <w:sz w:val="22"/>
                <w:szCs w:val="22"/>
              </w:rPr>
              <w:noBreakHyphen/>
              <w:t>level governance; UNEP (2016) documents partnerships’ role in transboundary issues; UN Ocean Conference tracks collaborative outcomes.</w:t>
            </w:r>
          </w:p>
        </w:tc>
        <w:tc>
          <w:tcPr>
            <w:tcW w:w="0" w:type="auto"/>
            <w:hideMark/>
          </w:tcPr>
          <w:p w14:paraId="12ABE3D7" w14:textId="77777777" w:rsidR="00101B62" w:rsidRPr="00101B62" w:rsidRDefault="00101B62" w:rsidP="00101B62">
            <w:pPr>
              <w:rPr>
                <w:rFonts w:asciiTheme="minorHAnsi" w:hAnsiTheme="minorHAnsi" w:cstheme="minorHAnsi"/>
                <w:color w:val="1F3864" w:themeColor="accent1" w:themeShade="80"/>
                <w:sz w:val="22"/>
                <w:szCs w:val="22"/>
              </w:rPr>
            </w:pPr>
            <w:proofErr w:type="spellStart"/>
            <w:r w:rsidRPr="00101B62">
              <w:rPr>
                <w:rFonts w:asciiTheme="minorHAnsi" w:hAnsiTheme="minorHAnsi" w:cstheme="minorHAnsi"/>
                <w:color w:val="1F3864" w:themeColor="accent1" w:themeShade="80"/>
                <w:sz w:val="22"/>
                <w:szCs w:val="22"/>
              </w:rPr>
              <w:t>MoUs</w:t>
            </w:r>
            <w:proofErr w:type="spellEnd"/>
            <w:r w:rsidRPr="00101B62">
              <w:rPr>
                <w:rFonts w:asciiTheme="minorHAnsi" w:hAnsiTheme="minorHAnsi" w:cstheme="minorHAnsi"/>
                <w:color w:val="1F3864" w:themeColor="accent1" w:themeShade="80"/>
                <w:sz w:val="22"/>
                <w:szCs w:val="22"/>
              </w:rPr>
              <w:t>, alliance agreements, joint action plans</w:t>
            </w:r>
          </w:p>
        </w:tc>
        <w:tc>
          <w:tcPr>
            <w:tcW w:w="0" w:type="auto"/>
            <w:hideMark/>
          </w:tcPr>
          <w:p w14:paraId="6750635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Harnesses complementary strengths of diverse actors.</w:t>
            </w:r>
          </w:p>
        </w:tc>
        <w:tc>
          <w:tcPr>
            <w:tcW w:w="0" w:type="auto"/>
            <w:hideMark/>
          </w:tcPr>
          <w:p w14:paraId="11FF7E83"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Coordination costs, conflicting priorities, uneven commitments.</w:t>
            </w:r>
          </w:p>
        </w:tc>
      </w:tr>
      <w:tr w:rsidR="00101B62" w:rsidRPr="00101B62" w14:paraId="1AA3EC30" w14:textId="77777777" w:rsidTr="00101B62">
        <w:tc>
          <w:tcPr>
            <w:tcW w:w="0" w:type="auto"/>
            <w:hideMark/>
          </w:tcPr>
          <w:p w14:paraId="058DB28B"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Operational Delivery</w:t>
            </w:r>
          </w:p>
        </w:tc>
        <w:tc>
          <w:tcPr>
            <w:tcW w:w="0" w:type="auto"/>
            <w:hideMark/>
          </w:tcPr>
          <w:p w14:paraId="28072709" w14:textId="77777777" w:rsidR="00101B62" w:rsidRPr="00101B62" w:rsidRDefault="00101B62" w:rsidP="00101B62">
            <w:pPr>
              <w:rPr>
                <w:rFonts w:asciiTheme="minorHAnsi" w:hAnsiTheme="minorHAnsi" w:cstheme="minorHAnsi"/>
                <w:color w:val="1F3864" w:themeColor="accent1" w:themeShade="80"/>
                <w:sz w:val="22"/>
                <w:szCs w:val="22"/>
              </w:rPr>
            </w:pPr>
            <w:hyperlink r:id="rId107" w:history="1">
              <w:r w:rsidRPr="00101B62">
                <w:rPr>
                  <w:rStyle w:val="Hyperlink"/>
                  <w:rFonts w:asciiTheme="minorHAnsi" w:hAnsiTheme="minorHAnsi" w:cstheme="minorHAnsi"/>
                  <w:color w:val="023160" w:themeColor="hyperlink" w:themeShade="80"/>
                  <w:sz w:val="22"/>
                  <w:szCs w:val="22"/>
                </w:rPr>
                <w:t>FAO (2020)</w:t>
              </w:r>
            </w:hyperlink>
            <w:r w:rsidRPr="00101B62">
              <w:rPr>
                <w:rFonts w:asciiTheme="minorHAnsi" w:hAnsiTheme="minorHAnsi" w:cstheme="minorHAnsi"/>
                <w:color w:val="1F3864" w:themeColor="accent1" w:themeShade="80"/>
                <w:sz w:val="22"/>
                <w:szCs w:val="22"/>
              </w:rPr>
              <w:t xml:space="preserve">; </w:t>
            </w:r>
            <w:hyperlink r:id="rId108" w:history="1">
              <w:r w:rsidRPr="00101B62">
                <w:rPr>
                  <w:rStyle w:val="Hyperlink"/>
                  <w:rFonts w:asciiTheme="minorHAnsi" w:hAnsiTheme="minorHAnsi" w:cstheme="minorHAnsi"/>
                  <w:color w:val="023160" w:themeColor="hyperlink" w:themeShade="80"/>
                  <w:sz w:val="22"/>
                  <w:szCs w:val="22"/>
                </w:rPr>
                <w:t>Peachey (2015)</w:t>
              </w:r>
            </w:hyperlink>
            <w:r w:rsidRPr="00101B62">
              <w:rPr>
                <w:rFonts w:asciiTheme="minorHAnsi" w:hAnsiTheme="minorHAnsi" w:cstheme="minorHAnsi"/>
                <w:color w:val="1F3864" w:themeColor="accent1" w:themeShade="80"/>
                <w:sz w:val="22"/>
                <w:szCs w:val="22"/>
              </w:rPr>
              <w:t xml:space="preserve">; </w:t>
            </w:r>
            <w:hyperlink r:id="rId109" w:history="1">
              <w:r w:rsidRPr="00101B62">
                <w:rPr>
                  <w:rStyle w:val="Hyperlink"/>
                  <w:rFonts w:asciiTheme="minorHAnsi" w:hAnsiTheme="minorHAnsi" w:cstheme="minorHAnsi"/>
                  <w:color w:val="023160" w:themeColor="hyperlink" w:themeShade="80"/>
                  <w:sz w:val="22"/>
                  <w:szCs w:val="22"/>
                </w:rPr>
                <w:t>IMO ITCP Reports</w:t>
              </w:r>
            </w:hyperlink>
          </w:p>
        </w:tc>
        <w:tc>
          <w:tcPr>
            <w:tcW w:w="0" w:type="auto"/>
            <w:hideMark/>
          </w:tcPr>
          <w:p w14:paraId="35714203"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FAO (2020) and Peachey (2015) stress building implementation capacity; IMO uses the ITCP to deliver technical cooperation.</w:t>
            </w:r>
          </w:p>
        </w:tc>
        <w:tc>
          <w:tcPr>
            <w:tcW w:w="0" w:type="auto"/>
            <w:hideMark/>
          </w:tcPr>
          <w:p w14:paraId="54FE3A57"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Field programmes, infrastructure projects, service contracts</w:t>
            </w:r>
          </w:p>
        </w:tc>
        <w:tc>
          <w:tcPr>
            <w:tcW w:w="0" w:type="auto"/>
            <w:hideMark/>
          </w:tcPr>
          <w:p w14:paraId="3810FFDC"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Delivers visible and measurable benefits to stakeholders.</w:t>
            </w:r>
          </w:p>
        </w:tc>
        <w:tc>
          <w:tcPr>
            <w:tcW w:w="0" w:type="auto"/>
            <w:hideMark/>
          </w:tcPr>
          <w:p w14:paraId="7F34761B"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Capacity constraints, logistical challenges, political interference.</w:t>
            </w:r>
          </w:p>
        </w:tc>
      </w:tr>
      <w:tr w:rsidR="00101B62" w:rsidRPr="00101B62" w14:paraId="1BDFE36D" w14:textId="77777777" w:rsidTr="00101B62">
        <w:tc>
          <w:tcPr>
            <w:tcW w:w="0" w:type="auto"/>
            <w:hideMark/>
          </w:tcPr>
          <w:p w14:paraId="1DA8A303"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Monitoring &amp; Accountability</w:t>
            </w:r>
          </w:p>
        </w:tc>
        <w:tc>
          <w:tcPr>
            <w:tcW w:w="0" w:type="auto"/>
            <w:hideMark/>
          </w:tcPr>
          <w:p w14:paraId="69827F0E" w14:textId="77777777" w:rsidR="00101B62" w:rsidRPr="00101B62" w:rsidRDefault="00101B62" w:rsidP="00101B62">
            <w:pPr>
              <w:rPr>
                <w:rFonts w:asciiTheme="minorHAnsi" w:hAnsiTheme="minorHAnsi" w:cstheme="minorHAnsi"/>
                <w:color w:val="1F3864" w:themeColor="accent1" w:themeShade="80"/>
                <w:sz w:val="22"/>
                <w:szCs w:val="22"/>
              </w:rPr>
            </w:pPr>
            <w:hyperlink r:id="rId110" w:history="1">
              <w:proofErr w:type="spellStart"/>
              <w:r w:rsidRPr="00101B62">
                <w:rPr>
                  <w:rStyle w:val="Hyperlink"/>
                  <w:rFonts w:asciiTheme="minorHAnsi" w:hAnsiTheme="minorHAnsi" w:cstheme="minorHAnsi"/>
                  <w:color w:val="023160" w:themeColor="hyperlink" w:themeShade="80"/>
                  <w:sz w:val="22"/>
                  <w:szCs w:val="22"/>
                </w:rPr>
                <w:t>Raustiala</w:t>
              </w:r>
              <w:proofErr w:type="spellEnd"/>
              <w:r w:rsidRPr="00101B62">
                <w:rPr>
                  <w:rStyle w:val="Hyperlink"/>
                  <w:rFonts w:asciiTheme="minorHAnsi" w:hAnsiTheme="minorHAnsi" w:cstheme="minorHAnsi"/>
                  <w:color w:val="023160" w:themeColor="hyperlink" w:themeShade="80"/>
                  <w:sz w:val="22"/>
                  <w:szCs w:val="22"/>
                </w:rPr>
                <w:t xml:space="preserve"> &amp; Slaughter (2002)</w:t>
              </w:r>
            </w:hyperlink>
            <w:r w:rsidRPr="00101B62">
              <w:rPr>
                <w:rFonts w:asciiTheme="minorHAnsi" w:hAnsiTheme="minorHAnsi" w:cstheme="minorHAnsi"/>
                <w:color w:val="1F3864" w:themeColor="accent1" w:themeShade="80"/>
                <w:sz w:val="22"/>
                <w:szCs w:val="22"/>
              </w:rPr>
              <w:t xml:space="preserve">; </w:t>
            </w:r>
            <w:hyperlink r:id="rId111" w:history="1">
              <w:r w:rsidRPr="00101B62">
                <w:rPr>
                  <w:rStyle w:val="Hyperlink"/>
                  <w:rFonts w:asciiTheme="minorHAnsi" w:hAnsiTheme="minorHAnsi" w:cstheme="minorHAnsi"/>
                  <w:color w:val="023160" w:themeColor="hyperlink" w:themeShade="80"/>
                  <w:sz w:val="22"/>
                  <w:szCs w:val="22"/>
                </w:rPr>
                <w:t>Chayes &amp; Chayes (1995)</w:t>
              </w:r>
            </w:hyperlink>
            <w:r w:rsidRPr="00101B62">
              <w:rPr>
                <w:rFonts w:asciiTheme="minorHAnsi" w:hAnsiTheme="minorHAnsi" w:cstheme="minorHAnsi"/>
                <w:color w:val="1F3864" w:themeColor="accent1" w:themeShade="80"/>
                <w:sz w:val="22"/>
                <w:szCs w:val="22"/>
              </w:rPr>
              <w:t xml:space="preserve">; </w:t>
            </w:r>
            <w:hyperlink r:id="rId112" w:history="1">
              <w:r w:rsidRPr="00101B62">
                <w:rPr>
                  <w:rStyle w:val="Hyperlink"/>
                  <w:rFonts w:asciiTheme="minorHAnsi" w:hAnsiTheme="minorHAnsi" w:cstheme="minorHAnsi"/>
                  <w:color w:val="023160" w:themeColor="hyperlink" w:themeShade="80"/>
                  <w:sz w:val="22"/>
                  <w:szCs w:val="22"/>
                </w:rPr>
                <w:t>GOOS Reports</w:t>
              </w:r>
            </w:hyperlink>
          </w:p>
        </w:tc>
        <w:tc>
          <w:tcPr>
            <w:tcW w:w="0" w:type="auto"/>
            <w:hideMark/>
          </w:tcPr>
          <w:p w14:paraId="4E513B8A" w14:textId="77777777" w:rsidR="00101B62" w:rsidRPr="00101B62" w:rsidRDefault="00101B62" w:rsidP="00101B62">
            <w:pPr>
              <w:rPr>
                <w:rFonts w:asciiTheme="minorHAnsi" w:hAnsiTheme="minorHAnsi" w:cstheme="minorHAnsi"/>
                <w:color w:val="1F3864" w:themeColor="accent1" w:themeShade="80"/>
                <w:sz w:val="22"/>
                <w:szCs w:val="22"/>
              </w:rPr>
            </w:pPr>
            <w:proofErr w:type="spellStart"/>
            <w:r w:rsidRPr="00101B62">
              <w:rPr>
                <w:rFonts w:asciiTheme="minorHAnsi" w:hAnsiTheme="minorHAnsi" w:cstheme="minorHAnsi"/>
                <w:color w:val="1F3864" w:themeColor="accent1" w:themeShade="80"/>
                <w:sz w:val="22"/>
                <w:szCs w:val="22"/>
              </w:rPr>
              <w:t>Raustiala</w:t>
            </w:r>
            <w:proofErr w:type="spellEnd"/>
            <w:r w:rsidRPr="00101B62">
              <w:rPr>
                <w:rFonts w:asciiTheme="minorHAnsi" w:hAnsiTheme="minorHAnsi" w:cstheme="minorHAnsi"/>
                <w:color w:val="1F3864" w:themeColor="accent1" w:themeShade="80"/>
                <w:sz w:val="22"/>
                <w:szCs w:val="22"/>
              </w:rPr>
              <w:t xml:space="preserve"> &amp; Slaughter (2002) link oversight to compliance; Chayes &amp; Chayes (1995) emphasise managerial compliance approaches; GOOS provides </w:t>
            </w:r>
            <w:r w:rsidRPr="00101B62">
              <w:rPr>
                <w:rFonts w:asciiTheme="minorHAnsi" w:hAnsiTheme="minorHAnsi" w:cstheme="minorHAnsi"/>
                <w:color w:val="1F3864" w:themeColor="accent1" w:themeShade="80"/>
                <w:sz w:val="22"/>
                <w:szCs w:val="22"/>
              </w:rPr>
              <w:lastRenderedPageBreak/>
              <w:t>monitoring frameworks.</w:t>
            </w:r>
          </w:p>
        </w:tc>
        <w:tc>
          <w:tcPr>
            <w:tcW w:w="0" w:type="auto"/>
            <w:hideMark/>
          </w:tcPr>
          <w:p w14:paraId="1D65F5DA"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lastRenderedPageBreak/>
              <w:t>Performance indicators, reporting mechanisms, independent evaluations</w:t>
            </w:r>
          </w:p>
        </w:tc>
        <w:tc>
          <w:tcPr>
            <w:tcW w:w="0" w:type="auto"/>
            <w:hideMark/>
          </w:tcPr>
          <w:p w14:paraId="6B956211"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Encourages adaptive governance and continuous improvement.</w:t>
            </w:r>
          </w:p>
        </w:tc>
        <w:tc>
          <w:tcPr>
            <w:tcW w:w="0" w:type="auto"/>
            <w:hideMark/>
          </w:tcPr>
          <w:p w14:paraId="5CE0170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Resource shortages, lack of political will, weak enforcement follow</w:t>
            </w:r>
            <w:r w:rsidRPr="00101B62">
              <w:rPr>
                <w:rFonts w:asciiTheme="minorHAnsi" w:hAnsiTheme="minorHAnsi" w:cstheme="minorHAnsi"/>
                <w:color w:val="1F3864" w:themeColor="accent1" w:themeShade="80"/>
                <w:sz w:val="22"/>
                <w:szCs w:val="22"/>
              </w:rPr>
              <w:noBreakHyphen/>
              <w:t>up.</w:t>
            </w:r>
          </w:p>
        </w:tc>
      </w:tr>
    </w:tbl>
    <w:p w14:paraId="2FAA9995" w14:textId="77777777" w:rsidR="00101B62" w:rsidRPr="000E2582" w:rsidRDefault="00101B62" w:rsidP="000E2582">
      <w:pPr>
        <w:rPr>
          <w:rFonts w:asciiTheme="minorHAnsi" w:hAnsiTheme="minorHAnsi" w:cstheme="minorHAnsi"/>
          <w:color w:val="1F3864" w:themeColor="accent1" w:themeShade="80"/>
          <w:sz w:val="22"/>
          <w:szCs w:val="22"/>
        </w:rPr>
      </w:pPr>
    </w:p>
    <w:p w14:paraId="6869380C" w14:textId="77777777" w:rsidR="005C63E7" w:rsidRPr="006E2E54" w:rsidRDefault="005C63E7" w:rsidP="005C63E7">
      <w:pPr>
        <w:rPr>
          <w:rFonts w:asciiTheme="minorHAnsi" w:hAnsiTheme="minorHAnsi" w:cstheme="minorHAnsi"/>
          <w:color w:val="1F3864" w:themeColor="accent1" w:themeShade="80"/>
          <w:sz w:val="22"/>
          <w:szCs w:val="22"/>
        </w:rPr>
      </w:pPr>
    </w:p>
    <w:p w14:paraId="2798210B" w14:textId="77777777" w:rsidR="005C63E7" w:rsidRPr="006E2E54" w:rsidRDefault="005C63E7" w:rsidP="005C63E7">
      <w:pPr>
        <w:rPr>
          <w:rFonts w:asciiTheme="minorHAnsi" w:hAnsiTheme="minorHAnsi" w:cstheme="minorHAnsi"/>
          <w:color w:val="1F3864" w:themeColor="accent1" w:themeShade="80"/>
          <w:sz w:val="22"/>
          <w:szCs w:val="22"/>
        </w:rPr>
      </w:pPr>
    </w:p>
    <w:p w14:paraId="12386011"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Strategies</w:t>
      </w:r>
    </w:p>
    <w:p w14:paraId="1396E8CF" w14:textId="01331A04" w:rsidR="00CA5B96" w:rsidRPr="00CA5B96" w:rsidRDefault="00CA5B96" w:rsidP="00CA5B96">
      <w:pPr>
        <w:rPr>
          <w:rFonts w:asciiTheme="minorHAnsi" w:hAnsiTheme="minorHAnsi" w:cstheme="minorHAnsi"/>
          <w:color w:val="1F3864" w:themeColor="accent1" w:themeShade="80"/>
          <w:sz w:val="22"/>
          <w:szCs w:val="22"/>
        </w:rPr>
      </w:pPr>
    </w:p>
    <w:p w14:paraId="33688879" w14:textId="19836197" w:rsidR="00CA5B96" w:rsidRPr="006E2E54" w:rsidRDefault="00CA5B96" w:rsidP="00CA5B96">
      <w:pPr>
        <w:jc w:val="both"/>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In operationalising their mandates within the ocean economy, intergovernmental organisations (IGOs) deploy a suite of strategic orientations that integrate both normative frameworks and pragmatic delivery mechanisms. As Biermann et al. (2009) contend, the durability of governance architectures depends upon “long</w:t>
      </w:r>
      <w:r>
        <w:rPr>
          <w:rFonts w:asciiTheme="minorHAnsi" w:hAnsiTheme="minorHAnsi" w:cstheme="minorHAnsi"/>
          <w:color w:val="1F3864" w:themeColor="accent1" w:themeShade="80"/>
          <w:sz w:val="22"/>
          <w:szCs w:val="22"/>
        </w:rPr>
        <w:t>-</w:t>
      </w:r>
      <w:r w:rsidRPr="00CA5B96">
        <w:rPr>
          <w:rFonts w:asciiTheme="minorHAnsi" w:hAnsiTheme="minorHAnsi" w:cstheme="minorHAnsi"/>
          <w:color w:val="1F3864" w:themeColor="accent1" w:themeShade="80"/>
          <w:sz w:val="22"/>
          <w:szCs w:val="22"/>
        </w:rPr>
        <w:t xml:space="preserve">term, adaptive institutions” capable of responding to complex Earth system dynamics, while Rochette et al. (2015) emphasise the structuring role of regional institutional design in fostering coherence across marine policy domains. Institutional instruments, from the FAO’s 2022–2031 Strategic Framework — which situates strategic planning as </w:t>
      </w:r>
      <w:r w:rsidRPr="00CA5B96">
        <w:rPr>
          <w:rFonts w:asciiTheme="minorHAnsi" w:hAnsiTheme="minorHAnsi" w:cstheme="minorHAnsi"/>
          <w:i/>
          <w:iCs/>
          <w:color w:val="1F3864" w:themeColor="accent1" w:themeShade="80"/>
          <w:sz w:val="22"/>
          <w:szCs w:val="22"/>
        </w:rPr>
        <w:t>cardinal</w:t>
      </w:r>
      <w:r w:rsidRPr="00CA5B96">
        <w:rPr>
          <w:rFonts w:asciiTheme="minorHAnsi" w:hAnsiTheme="minorHAnsi" w:cstheme="minorHAnsi"/>
          <w:color w:val="1F3864" w:themeColor="accent1" w:themeShade="80"/>
          <w:sz w:val="22"/>
          <w:szCs w:val="22"/>
        </w:rPr>
        <w:t xml:space="preserve"> to achieving the 2030 Agenda — to the IMO’s biennial budgetary provisions, illustrate how vision</w:t>
      </w:r>
      <w:r w:rsidRPr="00CA5B96">
        <w:rPr>
          <w:rFonts w:asciiTheme="minorHAnsi" w:hAnsiTheme="minorHAnsi" w:cstheme="minorHAnsi"/>
          <w:color w:val="1F3864" w:themeColor="accent1" w:themeShade="80"/>
          <w:sz w:val="22"/>
          <w:szCs w:val="22"/>
        </w:rPr>
        <w:noBreakHyphen/>
        <w:t>setting is interwoven with fiscal discipline in pursuit of effective implementation (UNCTAD, 2014; IMO, 2024–2025). Parallel strands emerge in the normative sphere, where Boyle and </w:t>
      </w:r>
      <w:proofErr w:type="spellStart"/>
      <w:r w:rsidRPr="00CA5B96">
        <w:rPr>
          <w:rFonts w:asciiTheme="minorHAnsi" w:hAnsiTheme="minorHAnsi" w:cstheme="minorHAnsi"/>
          <w:color w:val="1F3864" w:themeColor="accent1" w:themeShade="80"/>
          <w:sz w:val="22"/>
          <w:szCs w:val="22"/>
        </w:rPr>
        <w:t>Chinkin</w:t>
      </w:r>
      <w:proofErr w:type="spellEnd"/>
      <w:r w:rsidRPr="00CA5B96">
        <w:rPr>
          <w:rFonts w:asciiTheme="minorHAnsi" w:hAnsiTheme="minorHAnsi" w:cstheme="minorHAnsi"/>
          <w:color w:val="1F3864" w:themeColor="accent1" w:themeShade="80"/>
          <w:sz w:val="22"/>
          <w:szCs w:val="22"/>
        </w:rPr>
        <w:t> (2007) and Tanaka (2015) underline the centrality of coherent legal frameworks under the United Nations Convention on the Law of the Sea (UNCLOS) in harmonising State practice. Synthesising such perspectives across environmental stewardship (</w:t>
      </w:r>
      <w:proofErr w:type="spellStart"/>
      <w:r w:rsidRPr="00CA5B96">
        <w:rPr>
          <w:rFonts w:asciiTheme="minorHAnsi" w:hAnsiTheme="minorHAnsi" w:cstheme="minorHAnsi"/>
          <w:color w:val="1F3864" w:themeColor="accent1" w:themeShade="80"/>
          <w:sz w:val="22"/>
          <w:szCs w:val="22"/>
        </w:rPr>
        <w:t>Gjerde</w:t>
      </w:r>
      <w:proofErr w:type="spellEnd"/>
      <w:r w:rsidRPr="00CA5B96">
        <w:rPr>
          <w:rFonts w:asciiTheme="minorHAnsi" w:hAnsiTheme="minorHAnsi" w:cstheme="minorHAnsi"/>
          <w:color w:val="1F3864" w:themeColor="accent1" w:themeShade="80"/>
          <w:sz w:val="22"/>
          <w:szCs w:val="22"/>
        </w:rPr>
        <w:t> et al., 2008; CBD COP15), knowledge infrastructures (IOC</w:t>
      </w:r>
      <w:r w:rsidRPr="00CA5B96">
        <w:rPr>
          <w:rFonts w:asciiTheme="minorHAnsi" w:hAnsiTheme="minorHAnsi" w:cstheme="minorHAnsi"/>
          <w:color w:val="1F3864" w:themeColor="accent1" w:themeShade="80"/>
          <w:sz w:val="22"/>
          <w:szCs w:val="22"/>
        </w:rPr>
        <w:noBreakHyphen/>
        <w:t>UNESCO, 2017), innovation systems (OECD, 2019), and inclusionary norms (Allison et al., 2020), the following table distils ten principal strategy categories recurrently identified in the literature and official policy statements as constitutive of IGO action in ocean economy governance.</w:t>
      </w:r>
    </w:p>
    <w:p w14:paraId="718BBC3D" w14:textId="64DF5805" w:rsidR="00CA5B96" w:rsidRPr="00CA5B96" w:rsidRDefault="00CA5B96" w:rsidP="00CA5B96">
      <w:pPr>
        <w:rPr>
          <w:rFonts w:asciiTheme="minorHAnsi" w:hAnsiTheme="minorHAnsi" w:cstheme="minorHAnsi"/>
          <w:color w:val="1F3864" w:themeColor="accent1" w:themeShade="80"/>
          <w:sz w:val="22"/>
          <w:szCs w:val="22"/>
        </w:rPr>
      </w:pPr>
    </w:p>
    <w:p w14:paraId="18C1705D" w14:textId="29292AA8"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Comprehensive Table: Strategies for IGOs in Ocean Economy Governance — with Linked Sources and Key Framing</w:t>
      </w:r>
    </w:p>
    <w:tbl>
      <w:tblPr>
        <w:tblStyle w:val="TableGrid"/>
        <w:tblW w:w="0" w:type="auto"/>
        <w:tblLook w:val="04A0" w:firstRow="1" w:lastRow="0" w:firstColumn="1" w:lastColumn="0" w:noHBand="0" w:noVBand="1"/>
      </w:tblPr>
      <w:tblGrid>
        <w:gridCol w:w="1344"/>
        <w:gridCol w:w="1687"/>
        <w:gridCol w:w="1818"/>
        <w:gridCol w:w="1305"/>
        <w:gridCol w:w="1438"/>
        <w:gridCol w:w="1424"/>
      </w:tblGrid>
      <w:tr w:rsidR="00CA5B96" w:rsidRPr="00CA5B96" w14:paraId="220FD831" w14:textId="77777777" w:rsidTr="00CA5B96">
        <w:tc>
          <w:tcPr>
            <w:tcW w:w="0" w:type="auto"/>
            <w:hideMark/>
          </w:tcPr>
          <w:p w14:paraId="50007188"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Strategy Category</w:t>
            </w:r>
          </w:p>
        </w:tc>
        <w:tc>
          <w:tcPr>
            <w:tcW w:w="0" w:type="auto"/>
            <w:hideMark/>
          </w:tcPr>
          <w:p w14:paraId="3C104EC4"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58AA7F4E"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Key Framing in Literature &amp; Official Documents</w:t>
            </w:r>
          </w:p>
        </w:tc>
        <w:tc>
          <w:tcPr>
            <w:tcW w:w="0" w:type="auto"/>
            <w:hideMark/>
          </w:tcPr>
          <w:p w14:paraId="1FE2C5D4"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Instruments / Sources</w:t>
            </w:r>
          </w:p>
        </w:tc>
        <w:tc>
          <w:tcPr>
            <w:tcW w:w="0" w:type="auto"/>
            <w:hideMark/>
          </w:tcPr>
          <w:p w14:paraId="59CC1E78"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Rationale for Categorization</w:t>
            </w:r>
          </w:p>
        </w:tc>
        <w:tc>
          <w:tcPr>
            <w:tcW w:w="0" w:type="auto"/>
            <w:hideMark/>
          </w:tcPr>
          <w:p w14:paraId="06B9D43D"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Potential Impediments</w:t>
            </w:r>
          </w:p>
        </w:tc>
      </w:tr>
      <w:tr w:rsidR="00CA5B96" w:rsidRPr="00CA5B96" w14:paraId="67F9D634" w14:textId="77777777" w:rsidTr="00CA5B96">
        <w:tc>
          <w:tcPr>
            <w:tcW w:w="0" w:type="auto"/>
            <w:hideMark/>
          </w:tcPr>
          <w:p w14:paraId="54E593D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Strategic &amp; Institutional Planning</w:t>
            </w:r>
          </w:p>
        </w:tc>
        <w:tc>
          <w:tcPr>
            <w:tcW w:w="0" w:type="auto"/>
            <w:hideMark/>
          </w:tcPr>
          <w:p w14:paraId="06654FE3" w14:textId="77777777" w:rsidR="00CA5B96" w:rsidRPr="00CA5B96" w:rsidRDefault="00CA5B96" w:rsidP="00CA5B96">
            <w:pPr>
              <w:rPr>
                <w:rFonts w:asciiTheme="minorHAnsi" w:hAnsiTheme="minorHAnsi" w:cstheme="minorHAnsi"/>
                <w:color w:val="1F3864" w:themeColor="accent1" w:themeShade="80"/>
                <w:sz w:val="22"/>
                <w:szCs w:val="22"/>
              </w:rPr>
            </w:pPr>
            <w:hyperlink r:id="rId113" w:history="1">
              <w:r w:rsidRPr="00CA5B96">
                <w:rPr>
                  <w:rStyle w:val="Hyperlink"/>
                  <w:rFonts w:asciiTheme="minorHAnsi" w:hAnsiTheme="minorHAnsi" w:cstheme="minorHAnsi"/>
                  <w:color w:val="023160" w:themeColor="hyperlink" w:themeShade="80"/>
                  <w:sz w:val="22"/>
                  <w:szCs w:val="22"/>
                </w:rPr>
                <w:t>Biermann et al. (2009)</w:t>
              </w:r>
            </w:hyperlink>
            <w:r w:rsidRPr="00CA5B96">
              <w:rPr>
                <w:rFonts w:asciiTheme="minorHAnsi" w:hAnsiTheme="minorHAnsi" w:cstheme="minorHAnsi"/>
                <w:color w:val="1F3864" w:themeColor="accent1" w:themeShade="80"/>
                <w:sz w:val="22"/>
                <w:szCs w:val="22"/>
              </w:rPr>
              <w:t xml:space="preserve">; </w:t>
            </w:r>
            <w:hyperlink r:id="rId114" w:history="1">
              <w:r w:rsidRPr="00CA5B96">
                <w:rPr>
                  <w:rStyle w:val="Hyperlink"/>
                  <w:rFonts w:asciiTheme="minorHAnsi" w:hAnsiTheme="minorHAnsi" w:cstheme="minorHAnsi"/>
                  <w:color w:val="023160" w:themeColor="hyperlink" w:themeShade="80"/>
                  <w:sz w:val="22"/>
                  <w:szCs w:val="22"/>
                </w:rPr>
                <w:t>Rochette et al. (2015)</w:t>
              </w:r>
            </w:hyperlink>
            <w:r w:rsidRPr="00CA5B96">
              <w:rPr>
                <w:rFonts w:asciiTheme="minorHAnsi" w:hAnsiTheme="minorHAnsi" w:cstheme="minorHAnsi"/>
                <w:color w:val="1F3864" w:themeColor="accent1" w:themeShade="80"/>
                <w:sz w:val="22"/>
                <w:szCs w:val="22"/>
              </w:rPr>
              <w:t xml:space="preserve">; </w:t>
            </w:r>
            <w:hyperlink r:id="rId115" w:history="1">
              <w:r w:rsidRPr="00CA5B96">
                <w:rPr>
                  <w:rStyle w:val="Hyperlink"/>
                  <w:rFonts w:asciiTheme="minorHAnsi" w:hAnsiTheme="minorHAnsi" w:cstheme="minorHAnsi"/>
                  <w:color w:val="023160" w:themeColor="hyperlink" w:themeShade="80"/>
                  <w:sz w:val="22"/>
                  <w:szCs w:val="22"/>
                </w:rPr>
                <w:t>FAO Strategic Framework 2022–2031</w:t>
              </w:r>
            </w:hyperlink>
          </w:p>
        </w:tc>
        <w:tc>
          <w:tcPr>
            <w:tcW w:w="0" w:type="auto"/>
            <w:hideMark/>
          </w:tcPr>
          <w:p w14:paraId="77B6747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Biermann et al. (2009) argue that enduring governance demands “long</w:t>
            </w:r>
            <w:r w:rsidRPr="00CA5B96">
              <w:rPr>
                <w:rFonts w:asciiTheme="minorHAnsi" w:hAnsiTheme="minorHAnsi" w:cstheme="minorHAnsi"/>
                <w:color w:val="1F3864" w:themeColor="accent1" w:themeShade="80"/>
                <w:sz w:val="22"/>
                <w:szCs w:val="22"/>
              </w:rPr>
              <w:noBreakHyphen/>
              <w:t xml:space="preserve">term, adaptive institutions” responsive to Earth system complexity. Rochette et al. (2015) identify regional institutional architectures as key to coherent ocean policy. FAO’s 2022–2031 Strategic Framework </w:t>
            </w:r>
            <w:r w:rsidRPr="00CA5B96">
              <w:rPr>
                <w:rFonts w:asciiTheme="minorHAnsi" w:hAnsiTheme="minorHAnsi" w:cstheme="minorHAnsi"/>
                <w:color w:val="1F3864" w:themeColor="accent1" w:themeShade="80"/>
                <w:sz w:val="22"/>
                <w:szCs w:val="22"/>
              </w:rPr>
              <w:lastRenderedPageBreak/>
              <w:t xml:space="preserve">recognises strategic planning as </w:t>
            </w:r>
            <w:r w:rsidRPr="00CA5B96">
              <w:rPr>
                <w:rFonts w:asciiTheme="minorHAnsi" w:hAnsiTheme="minorHAnsi" w:cstheme="minorHAnsi"/>
                <w:i/>
                <w:iCs/>
                <w:color w:val="1F3864" w:themeColor="accent1" w:themeShade="80"/>
                <w:sz w:val="22"/>
                <w:szCs w:val="22"/>
              </w:rPr>
              <w:t>cardinal</w:t>
            </w:r>
            <w:r w:rsidRPr="00CA5B96">
              <w:rPr>
                <w:rFonts w:asciiTheme="minorHAnsi" w:hAnsiTheme="minorHAnsi" w:cstheme="minorHAnsi"/>
                <w:color w:val="1F3864" w:themeColor="accent1" w:themeShade="80"/>
                <w:sz w:val="22"/>
                <w:szCs w:val="22"/>
              </w:rPr>
              <w:t xml:space="preserve"> for aligning organisational action with the 2030 Agenda.</w:t>
            </w:r>
          </w:p>
        </w:tc>
        <w:tc>
          <w:tcPr>
            <w:tcW w:w="0" w:type="auto"/>
            <w:hideMark/>
          </w:tcPr>
          <w:p w14:paraId="2D9E80C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Multi</w:t>
            </w:r>
            <w:r w:rsidRPr="00CA5B96">
              <w:rPr>
                <w:rFonts w:asciiTheme="minorHAnsi" w:hAnsiTheme="minorHAnsi" w:cstheme="minorHAnsi"/>
                <w:color w:val="1F3864" w:themeColor="accent1" w:themeShade="80"/>
                <w:sz w:val="22"/>
                <w:szCs w:val="22"/>
              </w:rPr>
              <w:noBreakHyphen/>
              <w:t>year strategies, institutional reforms, organisational blueprints</w:t>
            </w:r>
          </w:p>
        </w:tc>
        <w:tc>
          <w:tcPr>
            <w:tcW w:w="0" w:type="auto"/>
            <w:hideMark/>
          </w:tcPr>
          <w:p w14:paraId="34BFF94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Establishes direction and coherence in governance interventions.</w:t>
            </w:r>
          </w:p>
        </w:tc>
        <w:tc>
          <w:tcPr>
            <w:tcW w:w="0" w:type="auto"/>
            <w:hideMark/>
          </w:tcPr>
          <w:p w14:paraId="43CB43E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Political turnover, shifting priorities, inadequate stakeholder engagement.</w:t>
            </w:r>
          </w:p>
        </w:tc>
      </w:tr>
      <w:tr w:rsidR="00CA5B96" w:rsidRPr="00CA5B96" w14:paraId="0E12D653" w14:textId="77777777" w:rsidTr="00CA5B96">
        <w:tc>
          <w:tcPr>
            <w:tcW w:w="0" w:type="auto"/>
            <w:hideMark/>
          </w:tcPr>
          <w:p w14:paraId="769B737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Financial &amp; Budgetary Management</w:t>
            </w:r>
          </w:p>
        </w:tc>
        <w:tc>
          <w:tcPr>
            <w:tcW w:w="0" w:type="auto"/>
            <w:hideMark/>
          </w:tcPr>
          <w:p w14:paraId="44A874C4" w14:textId="77777777" w:rsidR="00CA5B96" w:rsidRPr="00CA5B96" w:rsidRDefault="00CA5B96" w:rsidP="00CA5B96">
            <w:pPr>
              <w:rPr>
                <w:rFonts w:asciiTheme="minorHAnsi" w:hAnsiTheme="minorHAnsi" w:cstheme="minorHAnsi"/>
                <w:color w:val="1F3864" w:themeColor="accent1" w:themeShade="80"/>
                <w:sz w:val="22"/>
                <w:szCs w:val="22"/>
              </w:rPr>
            </w:pPr>
            <w:hyperlink r:id="rId116" w:history="1">
              <w:r w:rsidRPr="00CA5B96">
                <w:rPr>
                  <w:rStyle w:val="Hyperlink"/>
                  <w:rFonts w:asciiTheme="minorHAnsi" w:hAnsiTheme="minorHAnsi" w:cstheme="minorHAnsi"/>
                  <w:color w:val="023160" w:themeColor="hyperlink" w:themeShade="80"/>
                  <w:sz w:val="22"/>
                  <w:szCs w:val="22"/>
                </w:rPr>
                <w:t>UNCTAD (2014)</w:t>
              </w:r>
            </w:hyperlink>
            <w:r w:rsidRPr="00CA5B96">
              <w:rPr>
                <w:rFonts w:asciiTheme="minorHAnsi" w:hAnsiTheme="minorHAnsi" w:cstheme="minorHAnsi"/>
                <w:color w:val="1F3864" w:themeColor="accent1" w:themeShade="80"/>
                <w:sz w:val="22"/>
                <w:szCs w:val="22"/>
              </w:rPr>
              <w:t xml:space="preserve">; </w:t>
            </w:r>
            <w:hyperlink r:id="rId117" w:history="1">
              <w:r w:rsidRPr="00CA5B96">
                <w:rPr>
                  <w:rStyle w:val="Hyperlink"/>
                  <w:rFonts w:asciiTheme="minorHAnsi" w:hAnsiTheme="minorHAnsi" w:cstheme="minorHAnsi"/>
                  <w:color w:val="023160" w:themeColor="hyperlink" w:themeShade="80"/>
                  <w:sz w:val="22"/>
                  <w:szCs w:val="22"/>
                </w:rPr>
                <w:t>Sumaila et al. (2020)</w:t>
              </w:r>
            </w:hyperlink>
            <w:r w:rsidRPr="00CA5B96">
              <w:rPr>
                <w:rFonts w:asciiTheme="minorHAnsi" w:hAnsiTheme="minorHAnsi" w:cstheme="minorHAnsi"/>
                <w:color w:val="1F3864" w:themeColor="accent1" w:themeShade="80"/>
                <w:sz w:val="22"/>
                <w:szCs w:val="22"/>
              </w:rPr>
              <w:t xml:space="preserve">; </w:t>
            </w:r>
            <w:hyperlink r:id="rId118" w:history="1">
              <w:r w:rsidRPr="00CA5B96">
                <w:rPr>
                  <w:rStyle w:val="Hyperlink"/>
                  <w:rFonts w:asciiTheme="minorHAnsi" w:hAnsiTheme="minorHAnsi" w:cstheme="minorHAnsi"/>
                  <w:color w:val="023160" w:themeColor="hyperlink" w:themeShade="80"/>
                  <w:sz w:val="22"/>
                  <w:szCs w:val="22"/>
                </w:rPr>
                <w:t>IMO Budget 2024–2025</w:t>
              </w:r>
            </w:hyperlink>
          </w:p>
        </w:tc>
        <w:tc>
          <w:tcPr>
            <w:tcW w:w="0" w:type="auto"/>
            <w:hideMark/>
          </w:tcPr>
          <w:p w14:paraId="0D945E6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UNCTAD (2014) emphasises that sustainable maritime transport depends on reliable and diversified funding. Sumaila et al. (2020) stress subsidy reform to shift incentives toward ecological sustainability. The IMO’s biennial budget frames fiscal prudence as essential for fulfilling safety and environmental mandates.</w:t>
            </w:r>
          </w:p>
        </w:tc>
        <w:tc>
          <w:tcPr>
            <w:tcW w:w="0" w:type="auto"/>
            <w:hideMark/>
          </w:tcPr>
          <w:p w14:paraId="0FF5FE5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Annual budgets, medium</w:t>
            </w:r>
            <w:r w:rsidRPr="00CA5B96">
              <w:rPr>
                <w:rFonts w:asciiTheme="minorHAnsi" w:hAnsiTheme="minorHAnsi" w:cstheme="minorHAnsi"/>
                <w:color w:val="1F3864" w:themeColor="accent1" w:themeShade="80"/>
                <w:sz w:val="22"/>
                <w:szCs w:val="22"/>
              </w:rPr>
              <w:noBreakHyphen/>
              <w:t>term expenditure frameworks, audited statements</w:t>
            </w:r>
          </w:p>
        </w:tc>
        <w:tc>
          <w:tcPr>
            <w:tcW w:w="0" w:type="auto"/>
            <w:hideMark/>
          </w:tcPr>
          <w:p w14:paraId="6B2B2B8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Enables sustainable funding for mandates and initiatives.</w:t>
            </w:r>
          </w:p>
        </w:tc>
        <w:tc>
          <w:tcPr>
            <w:tcW w:w="0" w:type="auto"/>
            <w:hideMark/>
          </w:tcPr>
          <w:p w14:paraId="7232487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Donor dependency, volatile revenue streams, mismanagement risks.</w:t>
            </w:r>
          </w:p>
        </w:tc>
      </w:tr>
      <w:tr w:rsidR="00CA5B96" w:rsidRPr="00CA5B96" w14:paraId="49525ECE" w14:textId="77777777" w:rsidTr="00CA5B96">
        <w:tc>
          <w:tcPr>
            <w:tcW w:w="0" w:type="auto"/>
            <w:hideMark/>
          </w:tcPr>
          <w:p w14:paraId="03B4E09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Policy, Regulation &amp; Legal Frameworks</w:t>
            </w:r>
          </w:p>
        </w:tc>
        <w:tc>
          <w:tcPr>
            <w:tcW w:w="0" w:type="auto"/>
            <w:hideMark/>
          </w:tcPr>
          <w:p w14:paraId="4D1870F8" w14:textId="77777777" w:rsidR="00CA5B96" w:rsidRPr="00CA5B96" w:rsidRDefault="00CA5B96" w:rsidP="00CA5B96">
            <w:pPr>
              <w:rPr>
                <w:rFonts w:asciiTheme="minorHAnsi" w:hAnsiTheme="minorHAnsi" w:cstheme="minorHAnsi"/>
                <w:color w:val="1F3864" w:themeColor="accent1" w:themeShade="80"/>
                <w:sz w:val="22"/>
                <w:szCs w:val="22"/>
              </w:rPr>
            </w:pPr>
            <w:hyperlink r:id="rId119" w:history="1">
              <w:r w:rsidRPr="00CA5B96">
                <w:rPr>
                  <w:rStyle w:val="Hyperlink"/>
                  <w:rFonts w:asciiTheme="minorHAnsi" w:hAnsiTheme="minorHAnsi" w:cstheme="minorHAnsi"/>
                  <w:color w:val="023160" w:themeColor="hyperlink" w:themeShade="80"/>
                  <w:sz w:val="22"/>
                  <w:szCs w:val="22"/>
                </w:rPr>
                <w:t xml:space="preserve">Boyle &amp; </w:t>
              </w:r>
              <w:proofErr w:type="spellStart"/>
              <w:r w:rsidRPr="00CA5B96">
                <w:rPr>
                  <w:rStyle w:val="Hyperlink"/>
                  <w:rFonts w:asciiTheme="minorHAnsi" w:hAnsiTheme="minorHAnsi" w:cstheme="minorHAnsi"/>
                  <w:color w:val="023160" w:themeColor="hyperlink" w:themeShade="80"/>
                  <w:sz w:val="22"/>
                  <w:szCs w:val="22"/>
                </w:rPr>
                <w:t>Chinkin</w:t>
              </w:r>
              <w:proofErr w:type="spellEnd"/>
              <w:r w:rsidRPr="00CA5B96">
                <w:rPr>
                  <w:rStyle w:val="Hyperlink"/>
                  <w:rFonts w:asciiTheme="minorHAnsi" w:hAnsiTheme="minorHAnsi" w:cstheme="minorHAnsi"/>
                  <w:color w:val="023160" w:themeColor="hyperlink" w:themeShade="80"/>
                  <w:sz w:val="22"/>
                  <w:szCs w:val="22"/>
                </w:rPr>
                <w:t> (2007)</w:t>
              </w:r>
            </w:hyperlink>
            <w:r w:rsidRPr="00CA5B96">
              <w:rPr>
                <w:rFonts w:asciiTheme="minorHAnsi" w:hAnsiTheme="minorHAnsi" w:cstheme="minorHAnsi"/>
                <w:color w:val="1F3864" w:themeColor="accent1" w:themeShade="80"/>
                <w:sz w:val="22"/>
                <w:szCs w:val="22"/>
              </w:rPr>
              <w:t xml:space="preserve">; </w:t>
            </w:r>
            <w:hyperlink r:id="rId120" w:history="1">
              <w:r w:rsidRPr="00CA5B96">
                <w:rPr>
                  <w:rStyle w:val="Hyperlink"/>
                  <w:rFonts w:asciiTheme="minorHAnsi" w:hAnsiTheme="minorHAnsi" w:cstheme="minorHAnsi"/>
                  <w:color w:val="023160" w:themeColor="hyperlink" w:themeShade="80"/>
                  <w:sz w:val="22"/>
                  <w:szCs w:val="22"/>
                </w:rPr>
                <w:t>Tanaka (2015)</w:t>
              </w:r>
            </w:hyperlink>
            <w:r w:rsidRPr="00CA5B96">
              <w:rPr>
                <w:rFonts w:asciiTheme="minorHAnsi" w:hAnsiTheme="minorHAnsi" w:cstheme="minorHAnsi"/>
                <w:color w:val="1F3864" w:themeColor="accent1" w:themeShade="80"/>
                <w:sz w:val="22"/>
                <w:szCs w:val="22"/>
              </w:rPr>
              <w:t xml:space="preserve">; </w:t>
            </w:r>
            <w:hyperlink r:id="rId121" w:history="1">
              <w:r w:rsidRPr="00CA5B96">
                <w:rPr>
                  <w:rStyle w:val="Hyperlink"/>
                  <w:rFonts w:asciiTheme="minorHAnsi" w:hAnsiTheme="minorHAnsi" w:cstheme="minorHAnsi"/>
                  <w:color w:val="023160" w:themeColor="hyperlink" w:themeShade="80"/>
                  <w:sz w:val="22"/>
                  <w:szCs w:val="22"/>
                </w:rPr>
                <w:t>UNCLOS Implementation Review Reports</w:t>
              </w:r>
            </w:hyperlink>
          </w:p>
        </w:tc>
        <w:tc>
          <w:tcPr>
            <w:tcW w:w="0" w:type="auto"/>
            <w:hideMark/>
          </w:tcPr>
          <w:p w14:paraId="3DB2C6D1"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 xml:space="preserve">Boyle &amp; </w:t>
            </w:r>
            <w:proofErr w:type="spellStart"/>
            <w:r w:rsidRPr="00CA5B96">
              <w:rPr>
                <w:rFonts w:asciiTheme="minorHAnsi" w:hAnsiTheme="minorHAnsi" w:cstheme="minorHAnsi"/>
                <w:color w:val="1F3864" w:themeColor="accent1" w:themeShade="80"/>
                <w:sz w:val="22"/>
                <w:szCs w:val="22"/>
              </w:rPr>
              <w:t>Chinkin</w:t>
            </w:r>
            <w:proofErr w:type="spellEnd"/>
            <w:r w:rsidRPr="00CA5B96">
              <w:rPr>
                <w:rFonts w:asciiTheme="minorHAnsi" w:hAnsiTheme="minorHAnsi" w:cstheme="minorHAnsi"/>
                <w:color w:val="1F3864" w:themeColor="accent1" w:themeShade="80"/>
                <w:sz w:val="22"/>
                <w:szCs w:val="22"/>
              </w:rPr>
              <w:t xml:space="preserve"> (2007) contend that the authority of international law rests on clear, consistent rules. Tanaka (2015) details how law of the sea regimes coordinate diverse maritime uses. UNCLOS review reports underscore the necessity of harmonising domestic law for </w:t>
            </w:r>
            <w:r w:rsidRPr="00CA5B96">
              <w:rPr>
                <w:rFonts w:asciiTheme="minorHAnsi" w:hAnsiTheme="minorHAnsi" w:cstheme="minorHAnsi"/>
                <w:color w:val="1F3864" w:themeColor="accent1" w:themeShade="80"/>
                <w:sz w:val="22"/>
                <w:szCs w:val="22"/>
              </w:rPr>
              <w:lastRenderedPageBreak/>
              <w:t>treaty compliance.</w:t>
            </w:r>
          </w:p>
        </w:tc>
        <w:tc>
          <w:tcPr>
            <w:tcW w:w="0" w:type="auto"/>
            <w:hideMark/>
          </w:tcPr>
          <w:p w14:paraId="0E8208E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Treaties, regulations, directives, codes of practice</w:t>
            </w:r>
          </w:p>
        </w:tc>
        <w:tc>
          <w:tcPr>
            <w:tcW w:w="0" w:type="auto"/>
            <w:hideMark/>
          </w:tcPr>
          <w:p w14:paraId="2D9C82F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Ensures legal certainty and harmonised standards across jurisdictions.</w:t>
            </w:r>
          </w:p>
        </w:tc>
        <w:tc>
          <w:tcPr>
            <w:tcW w:w="0" w:type="auto"/>
            <w:hideMark/>
          </w:tcPr>
          <w:p w14:paraId="68596A5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Weak enforcement, conflicting domestic laws, political resistance.</w:t>
            </w:r>
          </w:p>
        </w:tc>
      </w:tr>
      <w:tr w:rsidR="00CA5B96" w:rsidRPr="00CA5B96" w14:paraId="4CA0D56B" w14:textId="77777777" w:rsidTr="00CA5B96">
        <w:tc>
          <w:tcPr>
            <w:tcW w:w="0" w:type="auto"/>
            <w:hideMark/>
          </w:tcPr>
          <w:p w14:paraId="780BE9B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Environmental, Climate &amp; Biodiversity Action</w:t>
            </w:r>
          </w:p>
        </w:tc>
        <w:tc>
          <w:tcPr>
            <w:tcW w:w="0" w:type="auto"/>
            <w:hideMark/>
          </w:tcPr>
          <w:p w14:paraId="7C10F181" w14:textId="77777777" w:rsidR="00CA5B96" w:rsidRPr="00CA5B96" w:rsidRDefault="00CA5B96" w:rsidP="00CA5B96">
            <w:pPr>
              <w:rPr>
                <w:rFonts w:asciiTheme="minorHAnsi" w:hAnsiTheme="minorHAnsi" w:cstheme="minorHAnsi"/>
                <w:color w:val="1F3864" w:themeColor="accent1" w:themeShade="80"/>
                <w:sz w:val="22"/>
                <w:szCs w:val="22"/>
              </w:rPr>
            </w:pPr>
            <w:hyperlink r:id="rId122" w:history="1">
              <w:proofErr w:type="spellStart"/>
              <w:r w:rsidRPr="00CA5B96">
                <w:rPr>
                  <w:rStyle w:val="Hyperlink"/>
                  <w:rFonts w:asciiTheme="minorHAnsi" w:hAnsiTheme="minorHAnsi" w:cstheme="minorHAnsi"/>
                  <w:color w:val="023160" w:themeColor="hyperlink" w:themeShade="80"/>
                  <w:sz w:val="22"/>
                  <w:szCs w:val="22"/>
                </w:rPr>
                <w:t>Gjerde</w:t>
              </w:r>
              <w:proofErr w:type="spellEnd"/>
              <w:r w:rsidRPr="00CA5B96">
                <w:rPr>
                  <w:rStyle w:val="Hyperlink"/>
                  <w:rFonts w:asciiTheme="minorHAnsi" w:hAnsiTheme="minorHAnsi" w:cstheme="minorHAnsi"/>
                  <w:color w:val="023160" w:themeColor="hyperlink" w:themeShade="80"/>
                  <w:sz w:val="22"/>
                  <w:szCs w:val="22"/>
                </w:rPr>
                <w:t xml:space="preserve"> et al. (2008)</w:t>
              </w:r>
            </w:hyperlink>
            <w:r w:rsidRPr="00CA5B96">
              <w:rPr>
                <w:rFonts w:asciiTheme="minorHAnsi" w:hAnsiTheme="minorHAnsi" w:cstheme="minorHAnsi"/>
                <w:color w:val="1F3864" w:themeColor="accent1" w:themeShade="80"/>
                <w:sz w:val="22"/>
                <w:szCs w:val="22"/>
              </w:rPr>
              <w:t xml:space="preserve">; </w:t>
            </w:r>
            <w:hyperlink r:id="rId123" w:history="1">
              <w:r w:rsidRPr="00CA5B96">
                <w:rPr>
                  <w:rStyle w:val="Hyperlink"/>
                  <w:rFonts w:asciiTheme="minorHAnsi" w:hAnsiTheme="minorHAnsi" w:cstheme="minorHAnsi"/>
                  <w:color w:val="023160" w:themeColor="hyperlink" w:themeShade="80"/>
                  <w:sz w:val="22"/>
                  <w:szCs w:val="22"/>
                </w:rPr>
                <w:t>De Santo et al. (2019)</w:t>
              </w:r>
            </w:hyperlink>
            <w:r w:rsidRPr="00CA5B96">
              <w:rPr>
                <w:rFonts w:asciiTheme="minorHAnsi" w:hAnsiTheme="minorHAnsi" w:cstheme="minorHAnsi"/>
                <w:color w:val="1F3864" w:themeColor="accent1" w:themeShade="80"/>
                <w:sz w:val="22"/>
                <w:szCs w:val="22"/>
              </w:rPr>
              <w:t xml:space="preserve">; </w:t>
            </w:r>
            <w:hyperlink r:id="rId124" w:history="1">
              <w:r w:rsidRPr="00CA5B96">
                <w:rPr>
                  <w:rStyle w:val="Hyperlink"/>
                  <w:rFonts w:asciiTheme="minorHAnsi" w:hAnsiTheme="minorHAnsi" w:cstheme="minorHAnsi"/>
                  <w:color w:val="023160" w:themeColor="hyperlink" w:themeShade="80"/>
                  <w:sz w:val="22"/>
                  <w:szCs w:val="22"/>
                </w:rPr>
                <w:t>CBD COP15 Outcome Document</w:t>
              </w:r>
            </w:hyperlink>
          </w:p>
        </w:tc>
        <w:tc>
          <w:tcPr>
            <w:tcW w:w="0" w:type="auto"/>
            <w:hideMark/>
          </w:tcPr>
          <w:p w14:paraId="310DE9B6"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t>Gjerde</w:t>
            </w:r>
            <w:proofErr w:type="spellEnd"/>
            <w:r w:rsidRPr="00CA5B96">
              <w:rPr>
                <w:rFonts w:asciiTheme="minorHAnsi" w:hAnsiTheme="minorHAnsi" w:cstheme="minorHAnsi"/>
                <w:color w:val="1F3864" w:themeColor="accent1" w:themeShade="80"/>
                <w:sz w:val="22"/>
                <w:szCs w:val="22"/>
              </w:rPr>
              <w:t> et al. (2008) frame biodiversity conservation beyond national jurisdiction as urgent for global commons stewardship. De Santo et al. (2019) highlight governance gaps that undermine marine protection. The CBD COP15 outcome calls for integrated climate</w:t>
            </w:r>
            <w:r w:rsidRPr="00CA5B96">
              <w:rPr>
                <w:rFonts w:asciiTheme="minorHAnsi" w:hAnsiTheme="minorHAnsi" w:cstheme="minorHAnsi"/>
                <w:color w:val="1F3864" w:themeColor="accent1" w:themeShade="80"/>
                <w:sz w:val="22"/>
                <w:szCs w:val="22"/>
              </w:rPr>
              <w:noBreakHyphen/>
              <w:t>biodiversity action to sustain ocean health.</w:t>
            </w:r>
          </w:p>
        </w:tc>
        <w:tc>
          <w:tcPr>
            <w:tcW w:w="0" w:type="auto"/>
            <w:hideMark/>
          </w:tcPr>
          <w:p w14:paraId="7DCBAAB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Conservation action plans, marine biodiversity strategies, carbon adaptation measures</w:t>
            </w:r>
          </w:p>
        </w:tc>
        <w:tc>
          <w:tcPr>
            <w:tcW w:w="0" w:type="auto"/>
            <w:hideMark/>
          </w:tcPr>
          <w:p w14:paraId="0961A9F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Maintains biodiversity, ecosystem services, and blue carbon stocks.</w:t>
            </w:r>
          </w:p>
        </w:tc>
        <w:tc>
          <w:tcPr>
            <w:tcW w:w="0" w:type="auto"/>
            <w:hideMark/>
          </w:tcPr>
          <w:p w14:paraId="02C14C8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Trade</w:t>
            </w:r>
            <w:r w:rsidRPr="00CA5B96">
              <w:rPr>
                <w:rFonts w:asciiTheme="minorHAnsi" w:hAnsiTheme="minorHAnsi" w:cstheme="minorHAnsi"/>
                <w:color w:val="1F3864" w:themeColor="accent1" w:themeShade="80"/>
                <w:sz w:val="22"/>
                <w:szCs w:val="22"/>
              </w:rPr>
              <w:noBreakHyphen/>
              <w:t>offs with economic growth, insufficient enforcement capacity.</w:t>
            </w:r>
          </w:p>
        </w:tc>
      </w:tr>
      <w:tr w:rsidR="00CA5B96" w:rsidRPr="00CA5B96" w14:paraId="30122E74" w14:textId="77777777" w:rsidTr="00CA5B96">
        <w:tc>
          <w:tcPr>
            <w:tcW w:w="0" w:type="auto"/>
            <w:hideMark/>
          </w:tcPr>
          <w:p w14:paraId="51283A9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Knowledge, Research &amp; Data Systems</w:t>
            </w:r>
          </w:p>
        </w:tc>
        <w:tc>
          <w:tcPr>
            <w:tcW w:w="0" w:type="auto"/>
            <w:hideMark/>
          </w:tcPr>
          <w:p w14:paraId="0F5BD593" w14:textId="77777777" w:rsidR="00CA5B96" w:rsidRPr="00CA5B96" w:rsidRDefault="00CA5B96" w:rsidP="00CA5B96">
            <w:pPr>
              <w:rPr>
                <w:rFonts w:asciiTheme="minorHAnsi" w:hAnsiTheme="minorHAnsi" w:cstheme="minorHAnsi"/>
                <w:color w:val="1F3864" w:themeColor="accent1" w:themeShade="80"/>
                <w:sz w:val="22"/>
                <w:szCs w:val="22"/>
              </w:rPr>
            </w:pPr>
            <w:hyperlink r:id="rId125" w:history="1">
              <w:r w:rsidRPr="00CA5B96">
                <w:rPr>
                  <w:rStyle w:val="Hyperlink"/>
                  <w:rFonts w:asciiTheme="minorHAnsi" w:hAnsiTheme="minorHAnsi" w:cstheme="minorHAnsi"/>
                  <w:color w:val="023160" w:themeColor="hyperlink" w:themeShade="80"/>
                  <w:sz w:val="22"/>
                  <w:szCs w:val="22"/>
                </w:rPr>
                <w:t>IOC</w:t>
              </w:r>
              <w:r w:rsidRPr="00CA5B96">
                <w:rPr>
                  <w:rStyle w:val="Hyperlink"/>
                  <w:rFonts w:asciiTheme="minorHAnsi" w:hAnsiTheme="minorHAnsi" w:cstheme="minorHAnsi"/>
                  <w:color w:val="023160" w:themeColor="hyperlink" w:themeShade="80"/>
                  <w:sz w:val="22"/>
                  <w:szCs w:val="22"/>
                </w:rPr>
                <w:noBreakHyphen/>
                <w:t>UNESCO (2017)</w:t>
              </w:r>
            </w:hyperlink>
            <w:r w:rsidRPr="00CA5B96">
              <w:rPr>
                <w:rFonts w:asciiTheme="minorHAnsi" w:hAnsiTheme="minorHAnsi" w:cstheme="minorHAnsi"/>
                <w:color w:val="1F3864" w:themeColor="accent1" w:themeShade="80"/>
                <w:sz w:val="22"/>
                <w:szCs w:val="22"/>
              </w:rPr>
              <w:t xml:space="preserve">; </w:t>
            </w:r>
            <w:hyperlink r:id="rId126" w:history="1">
              <w:proofErr w:type="spellStart"/>
              <w:r w:rsidRPr="00CA5B96">
                <w:rPr>
                  <w:rStyle w:val="Hyperlink"/>
                  <w:rFonts w:asciiTheme="minorHAnsi" w:hAnsiTheme="minorHAnsi" w:cstheme="minorHAnsi"/>
                  <w:color w:val="023160" w:themeColor="hyperlink" w:themeShade="80"/>
                  <w:sz w:val="22"/>
                  <w:szCs w:val="22"/>
                </w:rPr>
                <w:t>Prideaux</w:t>
              </w:r>
              <w:proofErr w:type="spellEnd"/>
              <w:r w:rsidRPr="00CA5B96">
                <w:rPr>
                  <w:rStyle w:val="Hyperlink"/>
                  <w:rFonts w:asciiTheme="minorHAnsi" w:hAnsiTheme="minorHAnsi" w:cstheme="minorHAnsi"/>
                  <w:color w:val="023160" w:themeColor="hyperlink" w:themeShade="80"/>
                  <w:sz w:val="22"/>
                  <w:szCs w:val="22"/>
                </w:rPr>
                <w:t xml:space="preserve"> et al. (2020)</w:t>
              </w:r>
            </w:hyperlink>
            <w:r w:rsidRPr="00CA5B96">
              <w:rPr>
                <w:rFonts w:asciiTheme="minorHAnsi" w:hAnsiTheme="minorHAnsi" w:cstheme="minorHAnsi"/>
                <w:color w:val="1F3864" w:themeColor="accent1" w:themeShade="80"/>
                <w:sz w:val="22"/>
                <w:szCs w:val="22"/>
              </w:rPr>
              <w:t xml:space="preserve">; </w:t>
            </w:r>
            <w:hyperlink r:id="rId127" w:history="1">
              <w:r w:rsidRPr="00CA5B96">
                <w:rPr>
                  <w:rStyle w:val="Hyperlink"/>
                  <w:rFonts w:asciiTheme="minorHAnsi" w:hAnsiTheme="minorHAnsi" w:cstheme="minorHAnsi"/>
                  <w:color w:val="023160" w:themeColor="hyperlink" w:themeShade="80"/>
                  <w:sz w:val="22"/>
                  <w:szCs w:val="22"/>
                </w:rPr>
                <w:t>UN Ocean Decade Implementation Plan</w:t>
              </w:r>
            </w:hyperlink>
          </w:p>
        </w:tc>
        <w:tc>
          <w:tcPr>
            <w:tcW w:w="0" w:type="auto"/>
            <w:hideMark/>
          </w:tcPr>
          <w:p w14:paraId="511D166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IOC</w:t>
            </w:r>
            <w:r w:rsidRPr="00CA5B96">
              <w:rPr>
                <w:rFonts w:asciiTheme="minorHAnsi" w:hAnsiTheme="minorHAnsi" w:cstheme="minorHAnsi"/>
                <w:color w:val="1F3864" w:themeColor="accent1" w:themeShade="80"/>
                <w:sz w:val="22"/>
                <w:szCs w:val="22"/>
              </w:rPr>
              <w:noBreakHyphen/>
              <w:t>UNESCO (2017) asserts that ocean governance must be “knowledge</w:t>
            </w:r>
            <w:r w:rsidRPr="00CA5B96">
              <w:rPr>
                <w:rFonts w:asciiTheme="minorHAnsi" w:hAnsiTheme="minorHAnsi" w:cstheme="minorHAnsi"/>
                <w:color w:val="1F3864" w:themeColor="accent1" w:themeShade="80"/>
                <w:sz w:val="22"/>
                <w:szCs w:val="22"/>
              </w:rPr>
              <w:noBreakHyphen/>
              <w:t>based and data</w:t>
            </w:r>
            <w:r w:rsidRPr="00CA5B96">
              <w:rPr>
                <w:rFonts w:asciiTheme="minorHAnsi" w:hAnsiTheme="minorHAnsi" w:cstheme="minorHAnsi"/>
                <w:color w:val="1F3864" w:themeColor="accent1" w:themeShade="80"/>
                <w:sz w:val="22"/>
                <w:szCs w:val="22"/>
              </w:rPr>
              <w:noBreakHyphen/>
              <w:t xml:space="preserve">driven.” </w:t>
            </w:r>
            <w:proofErr w:type="spellStart"/>
            <w:r w:rsidRPr="00CA5B96">
              <w:rPr>
                <w:rFonts w:asciiTheme="minorHAnsi" w:hAnsiTheme="minorHAnsi" w:cstheme="minorHAnsi"/>
                <w:color w:val="1F3864" w:themeColor="accent1" w:themeShade="80"/>
                <w:sz w:val="22"/>
                <w:szCs w:val="22"/>
              </w:rPr>
              <w:t>Prideaux</w:t>
            </w:r>
            <w:proofErr w:type="spellEnd"/>
            <w:r w:rsidRPr="00CA5B96">
              <w:rPr>
                <w:rFonts w:asciiTheme="minorHAnsi" w:hAnsiTheme="minorHAnsi" w:cstheme="minorHAnsi"/>
                <w:color w:val="1F3864" w:themeColor="accent1" w:themeShade="80"/>
                <w:sz w:val="22"/>
                <w:szCs w:val="22"/>
              </w:rPr>
              <w:t> et al. (2020) stress participatory research for coastal sustainability. The Ocean Decade plan mandates global data sharing to inform policy.</w:t>
            </w:r>
          </w:p>
        </w:tc>
        <w:tc>
          <w:tcPr>
            <w:tcW w:w="0" w:type="auto"/>
            <w:hideMark/>
          </w:tcPr>
          <w:p w14:paraId="63F181D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Scientific assessments, open</w:t>
            </w:r>
            <w:r w:rsidRPr="00CA5B96">
              <w:rPr>
                <w:rFonts w:asciiTheme="minorHAnsi" w:hAnsiTheme="minorHAnsi" w:cstheme="minorHAnsi"/>
                <w:color w:val="1F3864" w:themeColor="accent1" w:themeShade="80"/>
                <w:sz w:val="22"/>
                <w:szCs w:val="22"/>
              </w:rPr>
              <w:noBreakHyphen/>
              <w:t>access repositories, monitoring platforms</w:t>
            </w:r>
          </w:p>
        </w:tc>
        <w:tc>
          <w:tcPr>
            <w:tcW w:w="0" w:type="auto"/>
            <w:hideMark/>
          </w:tcPr>
          <w:p w14:paraId="430F5B8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Informs policy and operational decisions with credible knowledge.</w:t>
            </w:r>
          </w:p>
        </w:tc>
        <w:tc>
          <w:tcPr>
            <w:tcW w:w="0" w:type="auto"/>
            <w:hideMark/>
          </w:tcPr>
          <w:p w14:paraId="3F36B031"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Data gaps, lack of interoperability, inequitable access.</w:t>
            </w:r>
          </w:p>
        </w:tc>
      </w:tr>
      <w:tr w:rsidR="00CA5B96" w:rsidRPr="00CA5B96" w14:paraId="20935DEA" w14:textId="77777777" w:rsidTr="00CA5B96">
        <w:tc>
          <w:tcPr>
            <w:tcW w:w="0" w:type="auto"/>
            <w:hideMark/>
          </w:tcPr>
          <w:p w14:paraId="448CEC23"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Innovation &amp; Technology Development</w:t>
            </w:r>
          </w:p>
        </w:tc>
        <w:tc>
          <w:tcPr>
            <w:tcW w:w="0" w:type="auto"/>
            <w:hideMark/>
          </w:tcPr>
          <w:p w14:paraId="6D4BC5F1" w14:textId="77777777" w:rsidR="00CA5B96" w:rsidRPr="00CA5B96" w:rsidRDefault="00CA5B96" w:rsidP="00CA5B96">
            <w:pPr>
              <w:rPr>
                <w:rFonts w:asciiTheme="minorHAnsi" w:hAnsiTheme="minorHAnsi" w:cstheme="minorHAnsi"/>
                <w:color w:val="1F3864" w:themeColor="accent1" w:themeShade="80"/>
                <w:sz w:val="22"/>
                <w:szCs w:val="22"/>
              </w:rPr>
            </w:pPr>
            <w:hyperlink r:id="rId128" w:history="1">
              <w:r w:rsidRPr="00CA5B96">
                <w:rPr>
                  <w:rStyle w:val="Hyperlink"/>
                  <w:rFonts w:asciiTheme="minorHAnsi" w:hAnsiTheme="minorHAnsi" w:cstheme="minorHAnsi"/>
                  <w:color w:val="023160" w:themeColor="hyperlink" w:themeShade="80"/>
                  <w:sz w:val="22"/>
                  <w:szCs w:val="22"/>
                </w:rPr>
                <w:t>OECD (2019)</w:t>
              </w:r>
            </w:hyperlink>
            <w:r w:rsidRPr="00CA5B96">
              <w:rPr>
                <w:rFonts w:asciiTheme="minorHAnsi" w:hAnsiTheme="minorHAnsi" w:cstheme="minorHAnsi"/>
                <w:color w:val="1F3864" w:themeColor="accent1" w:themeShade="80"/>
                <w:sz w:val="22"/>
                <w:szCs w:val="22"/>
              </w:rPr>
              <w:t xml:space="preserve">; </w:t>
            </w:r>
            <w:hyperlink r:id="rId129" w:history="1">
              <w:r w:rsidRPr="00CA5B96">
                <w:rPr>
                  <w:rStyle w:val="Hyperlink"/>
                  <w:rFonts w:asciiTheme="minorHAnsi" w:hAnsiTheme="minorHAnsi" w:cstheme="minorHAnsi"/>
                  <w:color w:val="023160" w:themeColor="hyperlink" w:themeShade="80"/>
                  <w:sz w:val="22"/>
                  <w:szCs w:val="22"/>
                </w:rPr>
                <w:t>Johnson et al. (2018)</w:t>
              </w:r>
            </w:hyperlink>
            <w:r w:rsidRPr="00CA5B96">
              <w:rPr>
                <w:rFonts w:asciiTheme="minorHAnsi" w:hAnsiTheme="minorHAnsi" w:cstheme="minorHAnsi"/>
                <w:color w:val="1F3864" w:themeColor="accent1" w:themeShade="80"/>
                <w:sz w:val="22"/>
                <w:szCs w:val="22"/>
              </w:rPr>
              <w:t xml:space="preserve">; </w:t>
            </w:r>
            <w:hyperlink r:id="rId130" w:history="1">
              <w:r w:rsidRPr="00CA5B96">
                <w:rPr>
                  <w:rStyle w:val="Hyperlink"/>
                  <w:rFonts w:asciiTheme="minorHAnsi" w:hAnsiTheme="minorHAnsi" w:cstheme="minorHAnsi"/>
                  <w:color w:val="023160" w:themeColor="hyperlink" w:themeShade="80"/>
                  <w:sz w:val="22"/>
                  <w:szCs w:val="22"/>
                </w:rPr>
                <w:t>World Bank Blue Economy Framework (2021)</w:t>
              </w:r>
            </w:hyperlink>
          </w:p>
        </w:tc>
        <w:tc>
          <w:tcPr>
            <w:tcW w:w="0" w:type="auto"/>
            <w:hideMark/>
          </w:tcPr>
          <w:p w14:paraId="0EF5967B"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 xml:space="preserve">OECD (2019) links innovation ecosystems to blue growth potential. Johnson et al. (2018) discuss technology’s role </w:t>
            </w:r>
            <w:r w:rsidRPr="00CA5B96">
              <w:rPr>
                <w:rFonts w:asciiTheme="minorHAnsi" w:hAnsiTheme="minorHAnsi" w:cstheme="minorHAnsi"/>
                <w:color w:val="1F3864" w:themeColor="accent1" w:themeShade="80"/>
                <w:sz w:val="22"/>
                <w:szCs w:val="22"/>
              </w:rPr>
              <w:lastRenderedPageBreak/>
              <w:t>in fisheries sustainability. The World Bank (2021) promotes tech transfer as a driver of equitable ocean economy benefits.</w:t>
            </w:r>
          </w:p>
        </w:tc>
        <w:tc>
          <w:tcPr>
            <w:tcW w:w="0" w:type="auto"/>
            <w:hideMark/>
          </w:tcPr>
          <w:p w14:paraId="7E9A9DC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R&amp;D hubs, technology transfer schemes, innovation grants</w:t>
            </w:r>
          </w:p>
        </w:tc>
        <w:tc>
          <w:tcPr>
            <w:tcW w:w="0" w:type="auto"/>
            <w:hideMark/>
          </w:tcPr>
          <w:p w14:paraId="0CA31AB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Enhances competitiveness, efficiency, and resilience.</w:t>
            </w:r>
          </w:p>
        </w:tc>
        <w:tc>
          <w:tcPr>
            <w:tcW w:w="0" w:type="auto"/>
            <w:hideMark/>
          </w:tcPr>
          <w:p w14:paraId="6844559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High capital costs, unequal technological capacity, technology lock</w:t>
            </w:r>
            <w:r w:rsidRPr="00CA5B96">
              <w:rPr>
                <w:rFonts w:asciiTheme="minorHAnsi" w:hAnsiTheme="minorHAnsi" w:cstheme="minorHAnsi"/>
                <w:color w:val="1F3864" w:themeColor="accent1" w:themeShade="80"/>
                <w:sz w:val="22"/>
                <w:szCs w:val="22"/>
              </w:rPr>
              <w:noBreakHyphen/>
              <w:t>in.</w:t>
            </w:r>
          </w:p>
        </w:tc>
      </w:tr>
      <w:tr w:rsidR="00CA5B96" w:rsidRPr="00CA5B96" w14:paraId="1102C676" w14:textId="77777777" w:rsidTr="00CA5B96">
        <w:tc>
          <w:tcPr>
            <w:tcW w:w="0" w:type="auto"/>
            <w:hideMark/>
          </w:tcPr>
          <w:p w14:paraId="5086A35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lastRenderedPageBreak/>
              <w:t>Inclusion, Rights &amp; Social Justice</w:t>
            </w:r>
          </w:p>
        </w:tc>
        <w:tc>
          <w:tcPr>
            <w:tcW w:w="0" w:type="auto"/>
            <w:hideMark/>
          </w:tcPr>
          <w:p w14:paraId="5835F9F4" w14:textId="77777777" w:rsidR="00CA5B96" w:rsidRPr="00CA5B96" w:rsidRDefault="00CA5B96" w:rsidP="00CA5B96">
            <w:pPr>
              <w:rPr>
                <w:rFonts w:asciiTheme="minorHAnsi" w:hAnsiTheme="minorHAnsi" w:cstheme="minorHAnsi"/>
                <w:color w:val="1F3864" w:themeColor="accent1" w:themeShade="80"/>
                <w:sz w:val="22"/>
                <w:szCs w:val="22"/>
              </w:rPr>
            </w:pPr>
            <w:hyperlink r:id="rId131" w:history="1">
              <w:r w:rsidRPr="00CA5B96">
                <w:rPr>
                  <w:rStyle w:val="Hyperlink"/>
                  <w:rFonts w:asciiTheme="minorHAnsi" w:hAnsiTheme="minorHAnsi" w:cstheme="minorHAnsi"/>
                  <w:color w:val="023160" w:themeColor="hyperlink" w:themeShade="80"/>
                  <w:sz w:val="22"/>
                  <w:szCs w:val="22"/>
                </w:rPr>
                <w:t>UN (2012)</w:t>
              </w:r>
            </w:hyperlink>
            <w:r w:rsidRPr="00CA5B96">
              <w:rPr>
                <w:rFonts w:asciiTheme="minorHAnsi" w:hAnsiTheme="minorHAnsi" w:cstheme="minorHAnsi"/>
                <w:color w:val="1F3864" w:themeColor="accent1" w:themeShade="80"/>
                <w:sz w:val="22"/>
                <w:szCs w:val="22"/>
              </w:rPr>
              <w:t xml:space="preserve">; </w:t>
            </w:r>
            <w:hyperlink r:id="rId132" w:history="1">
              <w:r w:rsidRPr="00CA5B96">
                <w:rPr>
                  <w:rStyle w:val="Hyperlink"/>
                  <w:rFonts w:asciiTheme="minorHAnsi" w:hAnsiTheme="minorHAnsi" w:cstheme="minorHAnsi"/>
                  <w:color w:val="023160" w:themeColor="hyperlink" w:themeShade="80"/>
                  <w:sz w:val="22"/>
                  <w:szCs w:val="22"/>
                </w:rPr>
                <w:t>Allison et al. (2020)</w:t>
              </w:r>
            </w:hyperlink>
            <w:r w:rsidRPr="00CA5B96">
              <w:rPr>
                <w:rFonts w:asciiTheme="minorHAnsi" w:hAnsiTheme="minorHAnsi" w:cstheme="minorHAnsi"/>
                <w:color w:val="1F3864" w:themeColor="accent1" w:themeShade="80"/>
                <w:sz w:val="22"/>
                <w:szCs w:val="22"/>
              </w:rPr>
              <w:t xml:space="preserve">; </w:t>
            </w:r>
            <w:hyperlink r:id="rId133" w:history="1">
              <w:r w:rsidRPr="00CA5B96">
                <w:rPr>
                  <w:rStyle w:val="Hyperlink"/>
                  <w:rFonts w:asciiTheme="minorHAnsi" w:hAnsiTheme="minorHAnsi" w:cstheme="minorHAnsi"/>
                  <w:color w:val="023160" w:themeColor="hyperlink" w:themeShade="80"/>
                  <w:sz w:val="22"/>
                  <w:szCs w:val="22"/>
                </w:rPr>
                <w:t>FAO SSF Guidelines (2015)</w:t>
              </w:r>
            </w:hyperlink>
          </w:p>
        </w:tc>
        <w:tc>
          <w:tcPr>
            <w:tcW w:w="0" w:type="auto"/>
            <w:hideMark/>
          </w:tcPr>
          <w:p w14:paraId="29C2F74F"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The UN (2012) embeds equality and non</w:t>
            </w:r>
            <w:r w:rsidRPr="00CA5B96">
              <w:rPr>
                <w:rFonts w:asciiTheme="minorHAnsi" w:hAnsiTheme="minorHAnsi" w:cstheme="minorHAnsi"/>
                <w:color w:val="1F3864" w:themeColor="accent1" w:themeShade="80"/>
                <w:sz w:val="22"/>
                <w:szCs w:val="22"/>
              </w:rPr>
              <w:noBreakHyphen/>
              <w:t>discrimination in sustainable development goals. Allison et al. (2020) show that social justice underpins fisheries resilience. The FAO’s SSF Guidelines codify gender equity and indigenous rights in small</w:t>
            </w:r>
            <w:r w:rsidRPr="00CA5B96">
              <w:rPr>
                <w:rFonts w:asciiTheme="minorHAnsi" w:hAnsiTheme="minorHAnsi" w:cstheme="minorHAnsi"/>
                <w:color w:val="1F3864" w:themeColor="accent1" w:themeShade="80"/>
                <w:sz w:val="22"/>
                <w:szCs w:val="22"/>
              </w:rPr>
              <w:noBreakHyphen/>
              <w:t>scale fisheries governance.</w:t>
            </w:r>
          </w:p>
        </w:tc>
        <w:tc>
          <w:tcPr>
            <w:tcW w:w="0" w:type="auto"/>
            <w:hideMark/>
          </w:tcPr>
          <w:p w14:paraId="37965A3B"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Gender equality policies, indigenous rights protocols, participation frameworks</w:t>
            </w:r>
          </w:p>
        </w:tc>
        <w:tc>
          <w:tcPr>
            <w:tcW w:w="0" w:type="auto"/>
            <w:hideMark/>
          </w:tcPr>
          <w:p w14:paraId="1E105CA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Protects vulnerable groups and fosters equitable benefit sharing.</w:t>
            </w:r>
          </w:p>
        </w:tc>
        <w:tc>
          <w:tcPr>
            <w:tcW w:w="0" w:type="auto"/>
            <w:hideMark/>
          </w:tcPr>
          <w:p w14:paraId="74C0517B"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Structural inequalities, exclusionary political cultures, tokenism.</w:t>
            </w:r>
          </w:p>
        </w:tc>
      </w:tr>
      <w:tr w:rsidR="00CA5B96" w:rsidRPr="00CA5B96" w14:paraId="0D1BB41F" w14:textId="77777777" w:rsidTr="00CA5B96">
        <w:tc>
          <w:tcPr>
            <w:tcW w:w="0" w:type="auto"/>
            <w:hideMark/>
          </w:tcPr>
          <w:p w14:paraId="32844A33"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Capacity Development &amp; Operational Delivery</w:t>
            </w:r>
          </w:p>
        </w:tc>
        <w:tc>
          <w:tcPr>
            <w:tcW w:w="0" w:type="auto"/>
            <w:hideMark/>
          </w:tcPr>
          <w:p w14:paraId="181F5C40" w14:textId="77777777" w:rsidR="00CA5B96" w:rsidRPr="00CA5B96" w:rsidRDefault="00CA5B96" w:rsidP="00CA5B96">
            <w:pPr>
              <w:rPr>
                <w:rFonts w:asciiTheme="minorHAnsi" w:hAnsiTheme="minorHAnsi" w:cstheme="minorHAnsi"/>
                <w:color w:val="1F3864" w:themeColor="accent1" w:themeShade="80"/>
                <w:sz w:val="22"/>
                <w:szCs w:val="22"/>
              </w:rPr>
            </w:pPr>
            <w:hyperlink r:id="rId134" w:history="1">
              <w:r w:rsidRPr="00CA5B96">
                <w:rPr>
                  <w:rStyle w:val="Hyperlink"/>
                  <w:rFonts w:asciiTheme="minorHAnsi" w:hAnsiTheme="minorHAnsi" w:cstheme="minorHAnsi"/>
                  <w:color w:val="023160" w:themeColor="hyperlink" w:themeShade="80"/>
                  <w:sz w:val="22"/>
                  <w:szCs w:val="22"/>
                </w:rPr>
                <w:t>FAO (2020)</w:t>
              </w:r>
            </w:hyperlink>
            <w:r w:rsidRPr="00CA5B96">
              <w:rPr>
                <w:rFonts w:asciiTheme="minorHAnsi" w:hAnsiTheme="minorHAnsi" w:cstheme="minorHAnsi"/>
                <w:color w:val="1F3864" w:themeColor="accent1" w:themeShade="80"/>
                <w:sz w:val="22"/>
                <w:szCs w:val="22"/>
              </w:rPr>
              <w:t xml:space="preserve">; </w:t>
            </w:r>
            <w:hyperlink r:id="rId135" w:history="1">
              <w:r w:rsidRPr="00CA5B96">
                <w:rPr>
                  <w:rStyle w:val="Hyperlink"/>
                  <w:rFonts w:asciiTheme="minorHAnsi" w:hAnsiTheme="minorHAnsi" w:cstheme="minorHAnsi"/>
                  <w:color w:val="023160" w:themeColor="hyperlink" w:themeShade="80"/>
                  <w:sz w:val="22"/>
                  <w:szCs w:val="22"/>
                </w:rPr>
                <w:t>Peachey (2015)</w:t>
              </w:r>
            </w:hyperlink>
            <w:r w:rsidRPr="00CA5B96">
              <w:rPr>
                <w:rFonts w:asciiTheme="minorHAnsi" w:hAnsiTheme="minorHAnsi" w:cstheme="minorHAnsi"/>
                <w:color w:val="1F3864" w:themeColor="accent1" w:themeShade="80"/>
                <w:sz w:val="22"/>
                <w:szCs w:val="22"/>
              </w:rPr>
              <w:t xml:space="preserve">; </w:t>
            </w:r>
            <w:hyperlink r:id="rId136" w:history="1">
              <w:r w:rsidRPr="00CA5B96">
                <w:rPr>
                  <w:rStyle w:val="Hyperlink"/>
                  <w:rFonts w:asciiTheme="minorHAnsi" w:hAnsiTheme="minorHAnsi" w:cstheme="minorHAnsi"/>
                  <w:color w:val="023160" w:themeColor="hyperlink" w:themeShade="80"/>
                  <w:sz w:val="22"/>
                  <w:szCs w:val="22"/>
                </w:rPr>
                <w:t>IMO Technical Cooperation Programme Reports</w:t>
              </w:r>
            </w:hyperlink>
          </w:p>
        </w:tc>
        <w:tc>
          <w:tcPr>
            <w:tcW w:w="0" w:type="auto"/>
            <w:hideMark/>
          </w:tcPr>
          <w:p w14:paraId="0622AEF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FAO (2020) identifies capacity gaps as major barriers to effective fisheries governance. Peachey (2015) emphasises long</w:t>
            </w:r>
            <w:r w:rsidRPr="00CA5B96">
              <w:rPr>
                <w:rFonts w:asciiTheme="minorHAnsi" w:hAnsiTheme="minorHAnsi" w:cstheme="minorHAnsi"/>
                <w:color w:val="1F3864" w:themeColor="accent1" w:themeShade="80"/>
                <w:sz w:val="22"/>
                <w:szCs w:val="22"/>
              </w:rPr>
              <w:noBreakHyphen/>
              <w:t xml:space="preserve">term investment in skills and institutions. The IMO’s cooperation programme positions technical assistance as central to maritime safety </w:t>
            </w:r>
            <w:r w:rsidRPr="00CA5B96">
              <w:rPr>
                <w:rFonts w:asciiTheme="minorHAnsi" w:hAnsiTheme="minorHAnsi" w:cstheme="minorHAnsi"/>
                <w:color w:val="1F3864" w:themeColor="accent1" w:themeShade="80"/>
                <w:sz w:val="22"/>
                <w:szCs w:val="22"/>
              </w:rPr>
              <w:lastRenderedPageBreak/>
              <w:t>and environmental goals.</w:t>
            </w:r>
          </w:p>
        </w:tc>
        <w:tc>
          <w:tcPr>
            <w:tcW w:w="0" w:type="auto"/>
            <w:hideMark/>
          </w:tcPr>
          <w:p w14:paraId="7B9DDCB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Training programmes, technical assistance missions, project management systems</w:t>
            </w:r>
          </w:p>
        </w:tc>
        <w:tc>
          <w:tcPr>
            <w:tcW w:w="0" w:type="auto"/>
            <w:hideMark/>
          </w:tcPr>
          <w:p w14:paraId="7228524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Translates mandates into tangible impacts on the ground.</w:t>
            </w:r>
          </w:p>
        </w:tc>
        <w:tc>
          <w:tcPr>
            <w:tcW w:w="0" w:type="auto"/>
            <w:hideMark/>
          </w:tcPr>
          <w:p w14:paraId="0FE9883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Limited absorptive capacity, high staff turnover, resource constraints.</w:t>
            </w:r>
          </w:p>
        </w:tc>
      </w:tr>
      <w:tr w:rsidR="00CA5B96" w:rsidRPr="00CA5B96" w14:paraId="2401CB54" w14:textId="77777777" w:rsidTr="00CA5B96">
        <w:tc>
          <w:tcPr>
            <w:tcW w:w="0" w:type="auto"/>
            <w:hideMark/>
          </w:tcPr>
          <w:p w14:paraId="7AD9D2B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Collaboration, Partnerships &amp; Networks</w:t>
            </w:r>
          </w:p>
        </w:tc>
        <w:tc>
          <w:tcPr>
            <w:tcW w:w="0" w:type="auto"/>
            <w:hideMark/>
          </w:tcPr>
          <w:p w14:paraId="1174AA71" w14:textId="77777777" w:rsidR="00CA5B96" w:rsidRPr="00CA5B96" w:rsidRDefault="00CA5B96" w:rsidP="00CA5B96">
            <w:pPr>
              <w:rPr>
                <w:rFonts w:asciiTheme="minorHAnsi" w:hAnsiTheme="minorHAnsi" w:cstheme="minorHAnsi"/>
                <w:color w:val="1F3864" w:themeColor="accent1" w:themeShade="80"/>
                <w:sz w:val="22"/>
                <w:szCs w:val="22"/>
              </w:rPr>
            </w:pPr>
            <w:hyperlink r:id="rId137" w:history="1">
              <w:r w:rsidRPr="00CA5B96">
                <w:rPr>
                  <w:rStyle w:val="Hyperlink"/>
                  <w:rFonts w:asciiTheme="minorHAnsi" w:hAnsiTheme="minorHAnsi" w:cstheme="minorHAnsi"/>
                  <w:color w:val="023160" w:themeColor="hyperlink" w:themeShade="80"/>
                  <w:sz w:val="22"/>
                  <w:szCs w:val="22"/>
                </w:rPr>
                <w:t>Berkes (2012)</w:t>
              </w:r>
            </w:hyperlink>
            <w:r w:rsidRPr="00CA5B96">
              <w:rPr>
                <w:rFonts w:asciiTheme="minorHAnsi" w:hAnsiTheme="minorHAnsi" w:cstheme="minorHAnsi"/>
                <w:color w:val="1F3864" w:themeColor="accent1" w:themeShade="80"/>
                <w:sz w:val="22"/>
                <w:szCs w:val="22"/>
              </w:rPr>
              <w:t xml:space="preserve">; </w:t>
            </w:r>
            <w:hyperlink r:id="rId138" w:history="1">
              <w:r w:rsidRPr="00CA5B96">
                <w:rPr>
                  <w:rStyle w:val="Hyperlink"/>
                  <w:rFonts w:asciiTheme="minorHAnsi" w:hAnsiTheme="minorHAnsi" w:cstheme="minorHAnsi"/>
                  <w:color w:val="023160" w:themeColor="hyperlink" w:themeShade="80"/>
                  <w:sz w:val="22"/>
                  <w:szCs w:val="22"/>
                </w:rPr>
                <w:t>UNEP (2016)</w:t>
              </w:r>
            </w:hyperlink>
            <w:r w:rsidRPr="00CA5B96">
              <w:rPr>
                <w:rFonts w:asciiTheme="minorHAnsi" w:hAnsiTheme="minorHAnsi" w:cstheme="minorHAnsi"/>
                <w:color w:val="1F3864" w:themeColor="accent1" w:themeShade="80"/>
                <w:sz w:val="22"/>
                <w:szCs w:val="22"/>
              </w:rPr>
              <w:t xml:space="preserve">; </w:t>
            </w:r>
            <w:hyperlink r:id="rId139" w:history="1">
              <w:r w:rsidRPr="00CA5B96">
                <w:rPr>
                  <w:rStyle w:val="Hyperlink"/>
                  <w:rFonts w:asciiTheme="minorHAnsi" w:hAnsiTheme="minorHAnsi" w:cstheme="minorHAnsi"/>
                  <w:color w:val="023160" w:themeColor="hyperlink" w:themeShade="80"/>
                  <w:sz w:val="22"/>
                  <w:szCs w:val="22"/>
                </w:rPr>
                <w:t>UN Ocean Conference Partnership Reports</w:t>
              </w:r>
            </w:hyperlink>
          </w:p>
        </w:tc>
        <w:tc>
          <w:tcPr>
            <w:tcW w:w="0" w:type="auto"/>
            <w:hideMark/>
          </w:tcPr>
          <w:p w14:paraId="43BB784F"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Berkes (2012) notes that multi</w:t>
            </w:r>
            <w:r w:rsidRPr="00CA5B96">
              <w:rPr>
                <w:rFonts w:asciiTheme="minorHAnsi" w:hAnsiTheme="minorHAnsi" w:cstheme="minorHAnsi"/>
                <w:color w:val="1F3864" w:themeColor="accent1" w:themeShade="80"/>
                <w:sz w:val="22"/>
                <w:szCs w:val="22"/>
              </w:rPr>
              <w:noBreakHyphen/>
              <w:t>level governance relies on collaborative networks. UNEP (2016) frames partnerships as critical for addressing transboundary marine issues. UN Ocean Conference reports document partnerships as key vehicles for SDG14 implementation.</w:t>
            </w:r>
          </w:p>
        </w:tc>
        <w:tc>
          <w:tcPr>
            <w:tcW w:w="0" w:type="auto"/>
            <w:hideMark/>
          </w:tcPr>
          <w:p w14:paraId="0A033E9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Memoranda of understanding, coalition agreements, joint programmes</w:t>
            </w:r>
          </w:p>
        </w:tc>
        <w:tc>
          <w:tcPr>
            <w:tcW w:w="0" w:type="auto"/>
            <w:hideMark/>
          </w:tcPr>
          <w:p w14:paraId="39845901"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Leverages complementary strengths and resources.</w:t>
            </w:r>
          </w:p>
        </w:tc>
        <w:tc>
          <w:tcPr>
            <w:tcW w:w="0" w:type="auto"/>
            <w:hideMark/>
          </w:tcPr>
          <w:p w14:paraId="25575FC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Coordination challenges, divergent interests, partner dependency.</w:t>
            </w:r>
          </w:p>
        </w:tc>
      </w:tr>
      <w:tr w:rsidR="00CA5B96" w:rsidRPr="00CA5B96" w14:paraId="76BAA2FD" w14:textId="77777777" w:rsidTr="00CA5B96">
        <w:tc>
          <w:tcPr>
            <w:tcW w:w="0" w:type="auto"/>
            <w:hideMark/>
          </w:tcPr>
          <w:p w14:paraId="73E2294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Monitoring, Evaluation &amp; Accountability</w:t>
            </w:r>
          </w:p>
        </w:tc>
        <w:tc>
          <w:tcPr>
            <w:tcW w:w="0" w:type="auto"/>
            <w:hideMark/>
          </w:tcPr>
          <w:p w14:paraId="4656B235" w14:textId="77777777" w:rsidR="00CA5B96" w:rsidRPr="00CA5B96" w:rsidRDefault="00CA5B96" w:rsidP="00CA5B96">
            <w:pPr>
              <w:rPr>
                <w:rFonts w:asciiTheme="minorHAnsi" w:hAnsiTheme="minorHAnsi" w:cstheme="minorHAnsi"/>
                <w:color w:val="1F3864" w:themeColor="accent1" w:themeShade="80"/>
                <w:sz w:val="22"/>
                <w:szCs w:val="22"/>
              </w:rPr>
            </w:pPr>
            <w:hyperlink r:id="rId140" w:history="1">
              <w:proofErr w:type="spellStart"/>
              <w:r w:rsidRPr="00CA5B96">
                <w:rPr>
                  <w:rStyle w:val="Hyperlink"/>
                  <w:rFonts w:asciiTheme="minorHAnsi" w:hAnsiTheme="minorHAnsi" w:cstheme="minorHAnsi"/>
                  <w:color w:val="023160" w:themeColor="hyperlink" w:themeShade="80"/>
                  <w:sz w:val="22"/>
                  <w:szCs w:val="22"/>
                </w:rPr>
                <w:t>Raustiala</w:t>
              </w:r>
              <w:proofErr w:type="spellEnd"/>
              <w:r w:rsidRPr="00CA5B96">
                <w:rPr>
                  <w:rStyle w:val="Hyperlink"/>
                  <w:rFonts w:asciiTheme="minorHAnsi" w:hAnsiTheme="minorHAnsi" w:cstheme="minorHAnsi"/>
                  <w:color w:val="023160" w:themeColor="hyperlink" w:themeShade="80"/>
                  <w:sz w:val="22"/>
                  <w:szCs w:val="22"/>
                </w:rPr>
                <w:t xml:space="preserve"> &amp; Slaughter (2002)</w:t>
              </w:r>
            </w:hyperlink>
            <w:r w:rsidRPr="00CA5B96">
              <w:rPr>
                <w:rFonts w:asciiTheme="minorHAnsi" w:hAnsiTheme="minorHAnsi" w:cstheme="minorHAnsi"/>
                <w:color w:val="1F3864" w:themeColor="accent1" w:themeShade="80"/>
                <w:sz w:val="22"/>
                <w:szCs w:val="22"/>
              </w:rPr>
              <w:t xml:space="preserve">; </w:t>
            </w:r>
            <w:hyperlink r:id="rId141" w:history="1">
              <w:r w:rsidRPr="00CA5B96">
                <w:rPr>
                  <w:rStyle w:val="Hyperlink"/>
                  <w:rFonts w:asciiTheme="minorHAnsi" w:hAnsiTheme="minorHAnsi" w:cstheme="minorHAnsi"/>
                  <w:color w:val="023160" w:themeColor="hyperlink" w:themeShade="80"/>
                  <w:sz w:val="22"/>
                  <w:szCs w:val="22"/>
                </w:rPr>
                <w:t>Chayes &amp; Chayes (1995)</w:t>
              </w:r>
            </w:hyperlink>
            <w:r w:rsidRPr="00CA5B96">
              <w:rPr>
                <w:rFonts w:asciiTheme="minorHAnsi" w:hAnsiTheme="minorHAnsi" w:cstheme="minorHAnsi"/>
                <w:color w:val="1F3864" w:themeColor="accent1" w:themeShade="80"/>
                <w:sz w:val="22"/>
                <w:szCs w:val="22"/>
              </w:rPr>
              <w:t xml:space="preserve">; </w:t>
            </w:r>
            <w:hyperlink r:id="rId142" w:history="1">
              <w:r w:rsidRPr="00CA5B96">
                <w:rPr>
                  <w:rStyle w:val="Hyperlink"/>
                  <w:rFonts w:asciiTheme="minorHAnsi" w:hAnsiTheme="minorHAnsi" w:cstheme="minorHAnsi"/>
                  <w:color w:val="023160" w:themeColor="hyperlink" w:themeShade="80"/>
                  <w:sz w:val="22"/>
                  <w:szCs w:val="22"/>
                </w:rPr>
                <w:t>Global Ocean Observing System Reports</w:t>
              </w:r>
            </w:hyperlink>
          </w:p>
        </w:tc>
        <w:tc>
          <w:tcPr>
            <w:tcW w:w="0" w:type="auto"/>
            <w:hideMark/>
          </w:tcPr>
          <w:p w14:paraId="06FF6942"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t>Raustiala</w:t>
            </w:r>
            <w:proofErr w:type="spellEnd"/>
            <w:r w:rsidRPr="00CA5B96">
              <w:rPr>
                <w:rFonts w:asciiTheme="minorHAnsi" w:hAnsiTheme="minorHAnsi" w:cstheme="minorHAnsi"/>
                <w:color w:val="1F3864" w:themeColor="accent1" w:themeShade="80"/>
                <w:sz w:val="22"/>
                <w:szCs w:val="22"/>
              </w:rPr>
              <w:t xml:space="preserve"> &amp; Slaughter (2002) argue that compliance systems function best</w:t>
            </w:r>
          </w:p>
        </w:tc>
        <w:tc>
          <w:tcPr>
            <w:tcW w:w="0" w:type="auto"/>
            <w:hideMark/>
          </w:tcPr>
          <w:p w14:paraId="0F75BFD4" w14:textId="77777777" w:rsidR="00CA5B96" w:rsidRPr="00CA5B96" w:rsidRDefault="00CA5B96" w:rsidP="00CA5B96">
            <w:pPr>
              <w:rPr>
                <w:rFonts w:asciiTheme="minorHAnsi" w:hAnsiTheme="minorHAnsi" w:cstheme="minorHAnsi"/>
                <w:color w:val="1F3864" w:themeColor="accent1" w:themeShade="80"/>
                <w:sz w:val="22"/>
                <w:szCs w:val="22"/>
              </w:rPr>
            </w:pPr>
          </w:p>
        </w:tc>
        <w:tc>
          <w:tcPr>
            <w:tcW w:w="0" w:type="auto"/>
            <w:hideMark/>
          </w:tcPr>
          <w:p w14:paraId="334CD9FE" w14:textId="77777777" w:rsidR="00CA5B96" w:rsidRPr="00CA5B96" w:rsidRDefault="00CA5B96" w:rsidP="00CA5B96">
            <w:pPr>
              <w:rPr>
                <w:rFonts w:asciiTheme="minorHAnsi" w:hAnsiTheme="minorHAnsi" w:cstheme="minorHAnsi"/>
                <w:color w:val="1F3864" w:themeColor="accent1" w:themeShade="80"/>
                <w:sz w:val="22"/>
                <w:szCs w:val="22"/>
              </w:rPr>
            </w:pPr>
          </w:p>
        </w:tc>
        <w:tc>
          <w:tcPr>
            <w:tcW w:w="0" w:type="auto"/>
            <w:hideMark/>
          </w:tcPr>
          <w:p w14:paraId="2653C509" w14:textId="77777777" w:rsidR="00CA5B96" w:rsidRPr="00CA5B96" w:rsidRDefault="00CA5B96" w:rsidP="00CA5B96">
            <w:pPr>
              <w:rPr>
                <w:rFonts w:asciiTheme="minorHAnsi" w:hAnsiTheme="minorHAnsi" w:cstheme="minorHAnsi"/>
                <w:color w:val="1F3864" w:themeColor="accent1" w:themeShade="80"/>
                <w:sz w:val="22"/>
                <w:szCs w:val="22"/>
              </w:rPr>
            </w:pPr>
          </w:p>
        </w:tc>
      </w:tr>
    </w:tbl>
    <w:p w14:paraId="173E9274" w14:textId="77777777" w:rsidR="005C63E7" w:rsidRPr="006E2E54" w:rsidRDefault="005C63E7" w:rsidP="005C63E7">
      <w:pPr>
        <w:rPr>
          <w:rFonts w:asciiTheme="minorHAnsi" w:hAnsiTheme="minorHAnsi" w:cstheme="minorHAnsi"/>
          <w:color w:val="1F3864" w:themeColor="accent1" w:themeShade="80"/>
          <w:sz w:val="22"/>
          <w:szCs w:val="22"/>
        </w:rPr>
      </w:pPr>
    </w:p>
    <w:p w14:paraId="7EB29768" w14:textId="77777777" w:rsidR="005C63E7" w:rsidRPr="006E2E54" w:rsidRDefault="005C63E7" w:rsidP="005C63E7">
      <w:pPr>
        <w:rPr>
          <w:rFonts w:asciiTheme="minorHAnsi" w:hAnsiTheme="minorHAnsi" w:cstheme="minorHAnsi"/>
          <w:color w:val="1F3864" w:themeColor="accent1" w:themeShade="80"/>
          <w:sz w:val="22"/>
          <w:szCs w:val="22"/>
        </w:rPr>
      </w:pPr>
    </w:p>
    <w:p w14:paraId="24676466"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eastAsiaTheme="majorEastAsia" w:hAnsiTheme="minorHAnsi" w:cstheme="minorHAnsi"/>
          <w:b/>
          <w:bCs/>
          <w:color w:val="1F3864" w:themeColor="accent1" w:themeShade="80"/>
          <w:sz w:val="22"/>
          <w:szCs w:val="22"/>
        </w:rPr>
        <w:t>Defined Inter-Institutional Relationship Coding</w:t>
      </w:r>
    </w:p>
    <w:p w14:paraId="3ED59A5A" w14:textId="00D56CB7" w:rsidR="00CA5B96" w:rsidRPr="00CA5B96" w:rsidRDefault="00CA5B96" w:rsidP="00CA5B96">
      <w:pPr>
        <w:rPr>
          <w:rFonts w:asciiTheme="minorHAnsi" w:hAnsiTheme="minorHAnsi" w:cstheme="minorHAnsi"/>
          <w:color w:val="1F3864" w:themeColor="accent1" w:themeShade="80"/>
          <w:sz w:val="22"/>
          <w:szCs w:val="22"/>
        </w:rPr>
      </w:pPr>
    </w:p>
    <w:p w14:paraId="447B8C4D" w14:textId="005C3C28" w:rsidR="00CA5B96" w:rsidRDefault="00CA5B96" w:rsidP="00CA5B96">
      <w:pPr>
        <w:jc w:val="both"/>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Inter</w:t>
      </w:r>
      <w:r w:rsidRPr="00CA5B96">
        <w:rPr>
          <w:rFonts w:asciiTheme="minorHAnsi" w:hAnsiTheme="minorHAnsi" w:cstheme="minorHAnsi"/>
          <w:color w:val="1F3864" w:themeColor="accent1" w:themeShade="80"/>
          <w:sz w:val="22"/>
          <w:szCs w:val="22"/>
        </w:rPr>
        <w:noBreakHyphen/>
        <w:t xml:space="preserve">institutional relationships are a central vector through which IGOs in the global ocean economy translate mandates into coordinated governance outcomes. As </w:t>
      </w:r>
      <w:proofErr w:type="spellStart"/>
      <w:r w:rsidRPr="00CA5B96">
        <w:rPr>
          <w:rFonts w:asciiTheme="minorHAnsi" w:hAnsiTheme="minorHAnsi" w:cstheme="minorHAnsi"/>
          <w:color w:val="1F3864" w:themeColor="accent1" w:themeShade="80"/>
          <w:sz w:val="22"/>
          <w:szCs w:val="22"/>
        </w:rPr>
        <w:t>Jabour</w:t>
      </w:r>
      <w:proofErr w:type="spellEnd"/>
      <w:r w:rsidRPr="00CA5B96">
        <w:rPr>
          <w:rFonts w:asciiTheme="minorHAnsi" w:hAnsiTheme="minorHAnsi" w:cstheme="minorHAnsi"/>
          <w:color w:val="1F3864" w:themeColor="accent1" w:themeShade="80"/>
          <w:sz w:val="22"/>
          <w:szCs w:val="22"/>
        </w:rPr>
        <w:t xml:space="preserve"> and Broderick (2013) observe, the integrative potential of the UN system lies in its ability to convene diverse mandates under shared ocean policy frameworks, a view operationalised through mechanisms such as the UN Chief Executives Board’s system</w:t>
      </w:r>
      <w:r w:rsidRPr="00CA5B96">
        <w:rPr>
          <w:rFonts w:asciiTheme="minorHAnsi" w:hAnsiTheme="minorHAnsi" w:cstheme="minorHAnsi"/>
          <w:color w:val="1F3864" w:themeColor="accent1" w:themeShade="80"/>
          <w:sz w:val="22"/>
          <w:szCs w:val="22"/>
        </w:rPr>
        <w:t>-</w:t>
      </w:r>
      <w:r w:rsidRPr="00CA5B96">
        <w:rPr>
          <w:rFonts w:asciiTheme="minorHAnsi" w:hAnsiTheme="minorHAnsi" w:cstheme="minorHAnsi"/>
          <w:color w:val="1F3864" w:themeColor="accent1" w:themeShade="80"/>
          <w:sz w:val="22"/>
          <w:szCs w:val="22"/>
        </w:rPr>
        <w:t>wide policy coherence agenda and the joint initiatives of IOC</w:t>
      </w:r>
      <w:r w:rsidRPr="00CA5B96">
        <w:rPr>
          <w:rFonts w:asciiTheme="minorHAnsi" w:hAnsiTheme="minorHAnsi" w:cstheme="minorHAnsi"/>
          <w:color w:val="1F3864" w:themeColor="accent1" w:themeShade="80"/>
          <w:sz w:val="22"/>
          <w:szCs w:val="22"/>
        </w:rPr>
        <w:noBreakHyphen/>
        <w:t>UNESCO, FAO and IMO. At the regional scale, Rochette et al. (2015) underline that sub</w:t>
      </w:r>
      <w:r w:rsidRPr="00CA5B96">
        <w:rPr>
          <w:rFonts w:asciiTheme="minorHAnsi" w:hAnsiTheme="minorHAnsi" w:cstheme="minorHAnsi"/>
          <w:color w:val="1F3864" w:themeColor="accent1" w:themeShade="80"/>
          <w:sz w:val="22"/>
          <w:szCs w:val="22"/>
        </w:rPr>
        <w:t>-</w:t>
      </w:r>
      <w:r w:rsidRPr="00CA5B96">
        <w:rPr>
          <w:rFonts w:asciiTheme="minorHAnsi" w:hAnsiTheme="minorHAnsi" w:cstheme="minorHAnsi"/>
          <w:color w:val="1F3864" w:themeColor="accent1" w:themeShade="80"/>
          <w:sz w:val="22"/>
          <w:szCs w:val="22"/>
        </w:rPr>
        <w:t>regional bodies, including those within UNEP’s Regional Seas Programme, are pivotal in tailoring global norms to ecosystem</w:t>
      </w:r>
      <w:r w:rsidRPr="00CA5B96">
        <w:rPr>
          <w:rFonts w:asciiTheme="minorHAnsi" w:hAnsiTheme="minorHAnsi" w:cstheme="minorHAnsi"/>
          <w:color w:val="1F3864" w:themeColor="accent1" w:themeShade="80"/>
          <w:sz w:val="22"/>
          <w:szCs w:val="22"/>
        </w:rPr>
        <w:t>-</w:t>
      </w:r>
      <w:r w:rsidRPr="00CA5B96">
        <w:rPr>
          <w:rFonts w:asciiTheme="minorHAnsi" w:hAnsiTheme="minorHAnsi" w:cstheme="minorHAnsi"/>
          <w:color w:val="1F3864" w:themeColor="accent1" w:themeShade="80"/>
          <w:sz w:val="22"/>
          <w:szCs w:val="22"/>
        </w:rPr>
        <w:t>specific realities. Engagement with non</w:t>
      </w:r>
      <w:r w:rsidRPr="00CA5B96">
        <w:rPr>
          <w:rFonts w:asciiTheme="minorHAnsi" w:hAnsiTheme="minorHAnsi" w:cstheme="minorHAnsi"/>
          <w:color w:val="1F3864" w:themeColor="accent1" w:themeShade="80"/>
          <w:sz w:val="22"/>
          <w:szCs w:val="22"/>
        </w:rPr>
        <w:t>-</w:t>
      </w:r>
      <w:r w:rsidRPr="00CA5B96">
        <w:rPr>
          <w:rFonts w:asciiTheme="minorHAnsi" w:hAnsiTheme="minorHAnsi" w:cstheme="minorHAnsi"/>
          <w:color w:val="1F3864" w:themeColor="accent1" w:themeShade="80"/>
          <w:sz w:val="22"/>
          <w:szCs w:val="22"/>
        </w:rPr>
        <w:t>state actors, from NGOs as documented by Breen et al. (2016) and IUCN policy briefs, to private sector platforms such as the World Ocean Council and the UN Global Compact’s Ocean Principles, channels additional expertise, resources and innovation capacity into governance processes (OECD, 2019). Linkages to the scientific community — exemplified by IOC</w:t>
      </w:r>
      <w:r w:rsidRPr="00CA5B96">
        <w:rPr>
          <w:rFonts w:asciiTheme="minorHAnsi" w:hAnsiTheme="minorHAnsi" w:cstheme="minorHAnsi"/>
          <w:color w:val="1F3864" w:themeColor="accent1" w:themeShade="80"/>
          <w:sz w:val="22"/>
          <w:szCs w:val="22"/>
        </w:rPr>
        <w:noBreakHyphen/>
        <w:t>UNESCO (2017) and global assessments by the IPCC — anchor decision</w:t>
      </w:r>
      <w:r w:rsidRPr="00CA5B96">
        <w:rPr>
          <w:rFonts w:asciiTheme="minorHAnsi" w:hAnsiTheme="minorHAnsi" w:cstheme="minorHAnsi"/>
          <w:color w:val="1F3864" w:themeColor="accent1" w:themeShade="80"/>
          <w:sz w:val="22"/>
          <w:szCs w:val="22"/>
        </w:rPr>
        <w:noBreakHyphen/>
        <w:t xml:space="preserve">making in evidence, while coordination among treaty bodies, donors, civil society, and technical or expert groups ensures coherence, legitimacy and technical robustness across scales (Boyle &amp; </w:t>
      </w:r>
      <w:proofErr w:type="spellStart"/>
      <w:r w:rsidRPr="00CA5B96">
        <w:rPr>
          <w:rFonts w:asciiTheme="minorHAnsi" w:hAnsiTheme="minorHAnsi" w:cstheme="minorHAnsi"/>
          <w:color w:val="1F3864" w:themeColor="accent1" w:themeShade="80"/>
          <w:sz w:val="22"/>
          <w:szCs w:val="22"/>
        </w:rPr>
        <w:t>Chinkin</w:t>
      </w:r>
      <w:proofErr w:type="spellEnd"/>
      <w:r w:rsidRPr="00CA5B96">
        <w:rPr>
          <w:rFonts w:asciiTheme="minorHAnsi" w:hAnsiTheme="minorHAnsi" w:cstheme="minorHAnsi"/>
          <w:color w:val="1F3864" w:themeColor="accent1" w:themeShade="80"/>
          <w:sz w:val="22"/>
          <w:szCs w:val="22"/>
        </w:rPr>
        <w:t>, 2007; OECD DAC; FAO Expert Consultations). The following table distils ten recurrent relationship modalities identified in both the academic literature and official instruments as constitutive of IGO interaction in the global ocean governance domain.</w:t>
      </w:r>
    </w:p>
    <w:p w14:paraId="7E20025F" w14:textId="77777777" w:rsidR="00CA5B96" w:rsidRDefault="00CA5B96" w:rsidP="005C63E7">
      <w:pPr>
        <w:rPr>
          <w:rFonts w:asciiTheme="minorHAnsi" w:hAnsiTheme="minorHAnsi" w:cstheme="minorHAnsi"/>
          <w:color w:val="1F3864" w:themeColor="accent1" w:themeShade="80"/>
          <w:sz w:val="22"/>
          <w:szCs w:val="22"/>
        </w:rPr>
      </w:pPr>
    </w:p>
    <w:p w14:paraId="01ABB3F6" w14:textId="0B1A4BC5" w:rsidR="00CA5B96" w:rsidRPr="00CA5B96" w:rsidRDefault="00CA5B96" w:rsidP="00CA5B96">
      <w:pPr>
        <w:rPr>
          <w:rFonts w:asciiTheme="minorHAnsi" w:hAnsiTheme="minorHAnsi" w:cstheme="minorHAnsi"/>
          <w:color w:val="1F3864" w:themeColor="accent1" w:themeShade="80"/>
          <w:sz w:val="22"/>
          <w:szCs w:val="22"/>
        </w:rPr>
      </w:pPr>
    </w:p>
    <w:p w14:paraId="332391ED" w14:textId="21F690B6"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Comprehensive Table: Defining Inter</w:t>
      </w:r>
      <w:r w:rsidRPr="00CA5B96">
        <w:rPr>
          <w:rFonts w:asciiTheme="minorHAnsi" w:hAnsiTheme="minorHAnsi" w:cstheme="minorHAnsi"/>
          <w:b/>
          <w:bCs/>
          <w:color w:val="1F3864" w:themeColor="accent1" w:themeShade="80"/>
          <w:sz w:val="22"/>
          <w:szCs w:val="22"/>
        </w:rPr>
        <w:noBreakHyphen/>
        <w:t xml:space="preserve">Institutional Relationships for IGOs in Global Ocean Economy Governance </w:t>
      </w:r>
    </w:p>
    <w:tbl>
      <w:tblPr>
        <w:tblStyle w:val="TableGrid"/>
        <w:tblW w:w="0" w:type="auto"/>
        <w:tblLook w:val="04A0" w:firstRow="1" w:lastRow="0" w:firstColumn="1" w:lastColumn="0" w:noHBand="0" w:noVBand="1"/>
      </w:tblPr>
      <w:tblGrid>
        <w:gridCol w:w="1485"/>
        <w:gridCol w:w="1744"/>
        <w:gridCol w:w="1641"/>
        <w:gridCol w:w="1435"/>
        <w:gridCol w:w="1196"/>
        <w:gridCol w:w="1515"/>
      </w:tblGrid>
      <w:tr w:rsidR="00CA5B96" w:rsidRPr="00CA5B96" w14:paraId="3B2400D9" w14:textId="77777777" w:rsidTr="00CA5B96">
        <w:tc>
          <w:tcPr>
            <w:tcW w:w="0" w:type="auto"/>
            <w:hideMark/>
          </w:tcPr>
          <w:p w14:paraId="76A1F55B"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Relationship Category</w:t>
            </w:r>
          </w:p>
        </w:tc>
        <w:tc>
          <w:tcPr>
            <w:tcW w:w="0" w:type="auto"/>
            <w:hideMark/>
          </w:tcPr>
          <w:p w14:paraId="3E4EA71C"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6A6DAB2C"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Key Framing in Literature &amp; Official Documents</w:t>
            </w:r>
          </w:p>
        </w:tc>
        <w:tc>
          <w:tcPr>
            <w:tcW w:w="0" w:type="auto"/>
            <w:hideMark/>
          </w:tcPr>
          <w:p w14:paraId="0C4C9433"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Instruments / Sources</w:t>
            </w:r>
          </w:p>
        </w:tc>
        <w:tc>
          <w:tcPr>
            <w:tcW w:w="0" w:type="auto"/>
            <w:hideMark/>
          </w:tcPr>
          <w:p w14:paraId="70DE1A80"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Rationale for Categorization</w:t>
            </w:r>
          </w:p>
        </w:tc>
        <w:tc>
          <w:tcPr>
            <w:tcW w:w="0" w:type="auto"/>
            <w:hideMark/>
          </w:tcPr>
          <w:p w14:paraId="13ABA6A0"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Potential Impediments</w:t>
            </w:r>
          </w:p>
        </w:tc>
      </w:tr>
      <w:tr w:rsidR="00CA5B96" w:rsidRPr="00CA5B96" w14:paraId="52727706" w14:textId="77777777" w:rsidTr="00CA5B96">
        <w:tc>
          <w:tcPr>
            <w:tcW w:w="0" w:type="auto"/>
            <w:hideMark/>
          </w:tcPr>
          <w:p w14:paraId="6F414B9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UN System Collaboration</w:t>
            </w:r>
          </w:p>
        </w:tc>
        <w:tc>
          <w:tcPr>
            <w:tcW w:w="0" w:type="auto"/>
            <w:hideMark/>
          </w:tcPr>
          <w:p w14:paraId="36FCBF23" w14:textId="77777777" w:rsidR="00CA5B96" w:rsidRPr="00CA5B96" w:rsidRDefault="00CA5B96" w:rsidP="00CA5B96">
            <w:pPr>
              <w:rPr>
                <w:rFonts w:asciiTheme="minorHAnsi" w:hAnsiTheme="minorHAnsi" w:cstheme="minorHAnsi"/>
                <w:color w:val="1F3864" w:themeColor="accent1" w:themeShade="80"/>
                <w:sz w:val="22"/>
                <w:szCs w:val="22"/>
              </w:rPr>
            </w:pPr>
            <w:hyperlink r:id="rId143" w:history="1">
              <w:r w:rsidRPr="00CA5B96">
                <w:rPr>
                  <w:rStyle w:val="Hyperlink"/>
                  <w:rFonts w:asciiTheme="minorHAnsi" w:hAnsiTheme="minorHAnsi" w:cstheme="minorHAnsi"/>
                  <w:color w:val="023160" w:themeColor="hyperlink" w:themeShade="80"/>
                  <w:sz w:val="22"/>
                  <w:szCs w:val="22"/>
                </w:rPr>
                <w:t>UN Chief Executives Board (2018)</w:t>
              </w:r>
            </w:hyperlink>
            <w:r w:rsidRPr="00CA5B96">
              <w:rPr>
                <w:rFonts w:asciiTheme="minorHAnsi" w:hAnsiTheme="minorHAnsi" w:cstheme="minorHAnsi"/>
                <w:color w:val="1F3864" w:themeColor="accent1" w:themeShade="80"/>
                <w:sz w:val="22"/>
                <w:szCs w:val="22"/>
              </w:rPr>
              <w:t xml:space="preserve">; </w:t>
            </w:r>
            <w:hyperlink r:id="rId144" w:history="1">
              <w:proofErr w:type="spellStart"/>
              <w:r w:rsidRPr="00CA5B96">
                <w:rPr>
                  <w:rStyle w:val="Hyperlink"/>
                  <w:rFonts w:asciiTheme="minorHAnsi" w:hAnsiTheme="minorHAnsi" w:cstheme="minorHAnsi"/>
                  <w:color w:val="023160" w:themeColor="hyperlink" w:themeShade="80"/>
                  <w:sz w:val="22"/>
                  <w:szCs w:val="22"/>
                </w:rPr>
                <w:t>Jabour</w:t>
              </w:r>
              <w:proofErr w:type="spellEnd"/>
              <w:r w:rsidRPr="00CA5B96">
                <w:rPr>
                  <w:rStyle w:val="Hyperlink"/>
                  <w:rFonts w:asciiTheme="minorHAnsi" w:hAnsiTheme="minorHAnsi" w:cstheme="minorHAnsi"/>
                  <w:color w:val="023160" w:themeColor="hyperlink" w:themeShade="80"/>
                  <w:sz w:val="22"/>
                  <w:szCs w:val="22"/>
                </w:rPr>
                <w:t xml:space="preserve"> &amp; Broderick (2013)</w:t>
              </w:r>
            </w:hyperlink>
            <w:r w:rsidRPr="00CA5B96">
              <w:rPr>
                <w:rFonts w:asciiTheme="minorHAnsi" w:hAnsiTheme="minorHAnsi" w:cstheme="minorHAnsi"/>
                <w:color w:val="1F3864" w:themeColor="accent1" w:themeShade="80"/>
                <w:sz w:val="22"/>
                <w:szCs w:val="22"/>
              </w:rPr>
              <w:t xml:space="preserve">; </w:t>
            </w:r>
            <w:hyperlink r:id="rId145" w:history="1">
              <w:r w:rsidRPr="00CA5B96">
                <w:rPr>
                  <w:rStyle w:val="Hyperlink"/>
                  <w:rFonts w:asciiTheme="minorHAnsi" w:hAnsiTheme="minorHAnsi" w:cstheme="minorHAnsi"/>
                  <w:color w:val="023160" w:themeColor="hyperlink" w:themeShade="80"/>
                  <w:sz w:val="22"/>
                  <w:szCs w:val="22"/>
                </w:rPr>
                <w:t>IOC</w:t>
              </w:r>
              <w:r w:rsidRPr="00CA5B96">
                <w:rPr>
                  <w:rStyle w:val="Hyperlink"/>
                  <w:rFonts w:asciiTheme="minorHAnsi" w:hAnsiTheme="minorHAnsi" w:cstheme="minorHAnsi"/>
                  <w:color w:val="023160" w:themeColor="hyperlink" w:themeShade="80"/>
                  <w:sz w:val="22"/>
                  <w:szCs w:val="22"/>
                </w:rPr>
                <w:noBreakHyphen/>
                <w:t>UNESCO/FAO/IMO Joint Initiatives</w:t>
              </w:r>
            </w:hyperlink>
          </w:p>
        </w:tc>
        <w:tc>
          <w:tcPr>
            <w:tcW w:w="0" w:type="auto"/>
            <w:hideMark/>
          </w:tcPr>
          <w:p w14:paraId="193D63E1"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t>Jabour</w:t>
            </w:r>
            <w:proofErr w:type="spellEnd"/>
            <w:r w:rsidRPr="00CA5B96">
              <w:rPr>
                <w:rFonts w:asciiTheme="minorHAnsi" w:hAnsiTheme="minorHAnsi" w:cstheme="minorHAnsi"/>
                <w:color w:val="1F3864" w:themeColor="accent1" w:themeShade="80"/>
                <w:sz w:val="22"/>
                <w:szCs w:val="22"/>
              </w:rPr>
              <w:t xml:space="preserve"> &amp; Broderick (2013) highlight the integrative capacity of UN family bodies in advancing cohesive ocean governance. The CEB promotes system</w:t>
            </w:r>
            <w:r w:rsidRPr="00CA5B96">
              <w:rPr>
                <w:rFonts w:asciiTheme="minorHAnsi" w:hAnsiTheme="minorHAnsi" w:cstheme="minorHAnsi"/>
                <w:color w:val="1F3864" w:themeColor="accent1" w:themeShade="80"/>
                <w:sz w:val="22"/>
                <w:szCs w:val="22"/>
              </w:rPr>
              <w:noBreakHyphen/>
              <w:t>wide policy coherence, while joint IOC</w:t>
            </w:r>
            <w:r w:rsidRPr="00CA5B96">
              <w:rPr>
                <w:rFonts w:asciiTheme="minorHAnsi" w:hAnsiTheme="minorHAnsi" w:cstheme="minorHAnsi"/>
                <w:color w:val="1F3864" w:themeColor="accent1" w:themeShade="80"/>
                <w:sz w:val="22"/>
                <w:szCs w:val="22"/>
              </w:rPr>
              <w:noBreakHyphen/>
              <w:t>UNESCO, FAO, and IMO programmes exemplify coordinated delivery.</w:t>
            </w:r>
          </w:p>
        </w:tc>
        <w:tc>
          <w:tcPr>
            <w:tcW w:w="0" w:type="auto"/>
            <w:hideMark/>
          </w:tcPr>
          <w:p w14:paraId="632D711F"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Inter</w:t>
            </w:r>
            <w:r w:rsidRPr="00CA5B96">
              <w:rPr>
                <w:rFonts w:asciiTheme="minorHAnsi" w:hAnsiTheme="minorHAnsi" w:cstheme="minorHAnsi"/>
                <w:color w:val="1F3864" w:themeColor="accent1" w:themeShade="80"/>
                <w:sz w:val="22"/>
                <w:szCs w:val="22"/>
              </w:rPr>
              <w:noBreakHyphen/>
              <w:t>agency task forces, joint declarations, UN</w:t>
            </w:r>
            <w:r w:rsidRPr="00CA5B96">
              <w:rPr>
                <w:rFonts w:asciiTheme="minorHAnsi" w:hAnsiTheme="minorHAnsi" w:cstheme="minorHAnsi"/>
                <w:color w:val="1F3864" w:themeColor="accent1" w:themeShade="80"/>
                <w:sz w:val="22"/>
                <w:szCs w:val="22"/>
              </w:rPr>
              <w:noBreakHyphen/>
              <w:t>wide frameworks</w:t>
            </w:r>
          </w:p>
        </w:tc>
        <w:tc>
          <w:tcPr>
            <w:tcW w:w="0" w:type="auto"/>
            <w:hideMark/>
          </w:tcPr>
          <w:p w14:paraId="6159AFE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Prevents mandate duplication and fosters coherent global policy.</w:t>
            </w:r>
          </w:p>
        </w:tc>
        <w:tc>
          <w:tcPr>
            <w:tcW w:w="0" w:type="auto"/>
            <w:hideMark/>
          </w:tcPr>
          <w:p w14:paraId="48BE954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Bureaucratic silos, differing organisational cultures, mandate overlaps.</w:t>
            </w:r>
          </w:p>
        </w:tc>
      </w:tr>
      <w:tr w:rsidR="00CA5B96" w:rsidRPr="00CA5B96" w14:paraId="777DF50C" w14:textId="77777777" w:rsidTr="00CA5B96">
        <w:tc>
          <w:tcPr>
            <w:tcW w:w="0" w:type="auto"/>
            <w:hideMark/>
          </w:tcPr>
          <w:p w14:paraId="0C4D090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Regional Body Coordination</w:t>
            </w:r>
          </w:p>
        </w:tc>
        <w:tc>
          <w:tcPr>
            <w:tcW w:w="0" w:type="auto"/>
            <w:hideMark/>
          </w:tcPr>
          <w:p w14:paraId="0260484F" w14:textId="77777777" w:rsidR="00CA5B96" w:rsidRPr="00CA5B96" w:rsidRDefault="00CA5B96" w:rsidP="00CA5B96">
            <w:pPr>
              <w:rPr>
                <w:rFonts w:asciiTheme="minorHAnsi" w:hAnsiTheme="minorHAnsi" w:cstheme="minorHAnsi"/>
                <w:color w:val="1F3864" w:themeColor="accent1" w:themeShade="80"/>
                <w:sz w:val="22"/>
                <w:szCs w:val="22"/>
              </w:rPr>
            </w:pPr>
            <w:hyperlink r:id="rId146" w:history="1">
              <w:r w:rsidRPr="00CA5B96">
                <w:rPr>
                  <w:rStyle w:val="Hyperlink"/>
                  <w:rFonts w:asciiTheme="minorHAnsi" w:hAnsiTheme="minorHAnsi" w:cstheme="minorHAnsi"/>
                  <w:color w:val="023160" w:themeColor="hyperlink" w:themeShade="80"/>
                  <w:sz w:val="22"/>
                  <w:szCs w:val="22"/>
                </w:rPr>
                <w:t>Rochette et al. (2015)</w:t>
              </w:r>
            </w:hyperlink>
            <w:r w:rsidRPr="00CA5B96">
              <w:rPr>
                <w:rFonts w:asciiTheme="minorHAnsi" w:hAnsiTheme="minorHAnsi" w:cstheme="minorHAnsi"/>
                <w:color w:val="1F3864" w:themeColor="accent1" w:themeShade="80"/>
                <w:sz w:val="22"/>
                <w:szCs w:val="22"/>
              </w:rPr>
              <w:t xml:space="preserve">; </w:t>
            </w:r>
            <w:hyperlink r:id="rId147" w:history="1">
              <w:r w:rsidRPr="00CA5B96">
                <w:rPr>
                  <w:rStyle w:val="Hyperlink"/>
                  <w:rFonts w:asciiTheme="minorHAnsi" w:hAnsiTheme="minorHAnsi" w:cstheme="minorHAnsi"/>
                  <w:color w:val="023160" w:themeColor="hyperlink" w:themeShade="80"/>
                  <w:sz w:val="22"/>
                  <w:szCs w:val="22"/>
                </w:rPr>
                <w:t>UNEP Regional Seas Reports</w:t>
              </w:r>
            </w:hyperlink>
            <w:r w:rsidRPr="00CA5B96">
              <w:rPr>
                <w:rFonts w:asciiTheme="minorHAnsi" w:hAnsiTheme="minorHAnsi" w:cstheme="minorHAnsi"/>
                <w:color w:val="1F3864" w:themeColor="accent1" w:themeShade="80"/>
                <w:sz w:val="22"/>
                <w:szCs w:val="22"/>
              </w:rPr>
              <w:t xml:space="preserve">; </w:t>
            </w:r>
            <w:hyperlink r:id="rId148" w:history="1">
              <w:r w:rsidRPr="00CA5B96">
                <w:rPr>
                  <w:rStyle w:val="Hyperlink"/>
                  <w:rFonts w:asciiTheme="minorHAnsi" w:hAnsiTheme="minorHAnsi" w:cstheme="minorHAnsi"/>
                  <w:color w:val="023160" w:themeColor="hyperlink" w:themeShade="80"/>
                  <w:sz w:val="22"/>
                  <w:szCs w:val="22"/>
                </w:rPr>
                <w:t>PEMSEA Framework Documents</w:t>
              </w:r>
            </w:hyperlink>
          </w:p>
        </w:tc>
        <w:tc>
          <w:tcPr>
            <w:tcW w:w="0" w:type="auto"/>
            <w:hideMark/>
          </w:tcPr>
          <w:p w14:paraId="42C2AE5B"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Rochette et al. (2015) identify regional institutions as essential for aligning sub</w:t>
            </w:r>
            <w:r w:rsidRPr="00CA5B96">
              <w:rPr>
                <w:rFonts w:asciiTheme="minorHAnsi" w:hAnsiTheme="minorHAnsi" w:cstheme="minorHAnsi"/>
                <w:color w:val="1F3864" w:themeColor="accent1" w:themeShade="80"/>
                <w:sz w:val="22"/>
                <w:szCs w:val="22"/>
              </w:rPr>
              <w:noBreakHyphen/>
              <w:t>regional governance with global frameworks. UNEP’s Regional Seas Programme stresses ecosystem</w:t>
            </w:r>
            <w:r w:rsidRPr="00CA5B96">
              <w:rPr>
                <w:rFonts w:asciiTheme="minorHAnsi" w:hAnsiTheme="minorHAnsi" w:cstheme="minorHAnsi"/>
                <w:color w:val="1F3864" w:themeColor="accent1" w:themeShade="80"/>
                <w:sz w:val="22"/>
                <w:szCs w:val="22"/>
              </w:rPr>
              <w:noBreakHyphen/>
              <w:t>based coordination.</w:t>
            </w:r>
          </w:p>
        </w:tc>
        <w:tc>
          <w:tcPr>
            <w:tcW w:w="0" w:type="auto"/>
            <w:hideMark/>
          </w:tcPr>
          <w:p w14:paraId="41A7A09E"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t>MoUs</w:t>
            </w:r>
            <w:proofErr w:type="spellEnd"/>
            <w:r w:rsidRPr="00CA5B96">
              <w:rPr>
                <w:rFonts w:asciiTheme="minorHAnsi" w:hAnsiTheme="minorHAnsi" w:cstheme="minorHAnsi"/>
                <w:color w:val="1F3864" w:themeColor="accent1" w:themeShade="80"/>
                <w:sz w:val="22"/>
                <w:szCs w:val="22"/>
              </w:rPr>
              <w:t xml:space="preserve"> between regional commissions, joint action plans, data</w:t>
            </w:r>
            <w:r w:rsidRPr="00CA5B96">
              <w:rPr>
                <w:rFonts w:asciiTheme="minorHAnsi" w:hAnsiTheme="minorHAnsi" w:cstheme="minorHAnsi"/>
                <w:color w:val="1F3864" w:themeColor="accent1" w:themeShade="80"/>
                <w:sz w:val="22"/>
                <w:szCs w:val="22"/>
              </w:rPr>
              <w:noBreakHyphen/>
              <w:t>sharing agreements</w:t>
            </w:r>
          </w:p>
        </w:tc>
        <w:tc>
          <w:tcPr>
            <w:tcW w:w="0" w:type="auto"/>
            <w:hideMark/>
          </w:tcPr>
          <w:p w14:paraId="56C9A9C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Aligns actions at ecosystem or sub</w:t>
            </w:r>
            <w:r w:rsidRPr="00CA5B96">
              <w:rPr>
                <w:rFonts w:asciiTheme="minorHAnsi" w:hAnsiTheme="minorHAnsi" w:cstheme="minorHAnsi"/>
                <w:color w:val="1F3864" w:themeColor="accent1" w:themeShade="80"/>
                <w:sz w:val="22"/>
                <w:szCs w:val="22"/>
              </w:rPr>
              <w:noBreakHyphen/>
              <w:t>regional scale with global commitments.</w:t>
            </w:r>
          </w:p>
        </w:tc>
        <w:tc>
          <w:tcPr>
            <w:tcW w:w="0" w:type="auto"/>
            <w:hideMark/>
          </w:tcPr>
          <w:p w14:paraId="11835C7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Varying capacity across regions, geopolitical tensions, funding asymmetries.</w:t>
            </w:r>
          </w:p>
        </w:tc>
      </w:tr>
      <w:tr w:rsidR="00CA5B96" w:rsidRPr="00CA5B96" w14:paraId="3F715DA0" w14:textId="77777777" w:rsidTr="00CA5B96">
        <w:tc>
          <w:tcPr>
            <w:tcW w:w="0" w:type="auto"/>
            <w:hideMark/>
          </w:tcPr>
          <w:p w14:paraId="362ECEB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NGO Engagement</w:t>
            </w:r>
          </w:p>
        </w:tc>
        <w:tc>
          <w:tcPr>
            <w:tcW w:w="0" w:type="auto"/>
            <w:hideMark/>
          </w:tcPr>
          <w:p w14:paraId="3CBBFD0C" w14:textId="77777777" w:rsidR="00CA5B96" w:rsidRPr="00CA5B96" w:rsidRDefault="00CA5B96" w:rsidP="00CA5B96">
            <w:pPr>
              <w:rPr>
                <w:rFonts w:asciiTheme="minorHAnsi" w:hAnsiTheme="minorHAnsi" w:cstheme="minorHAnsi"/>
                <w:color w:val="1F3864" w:themeColor="accent1" w:themeShade="80"/>
                <w:sz w:val="22"/>
                <w:szCs w:val="22"/>
              </w:rPr>
            </w:pPr>
            <w:hyperlink r:id="rId149" w:history="1">
              <w:r w:rsidRPr="00CA5B96">
                <w:rPr>
                  <w:rStyle w:val="Hyperlink"/>
                  <w:rFonts w:asciiTheme="minorHAnsi" w:hAnsiTheme="minorHAnsi" w:cstheme="minorHAnsi"/>
                  <w:color w:val="023160" w:themeColor="hyperlink" w:themeShade="80"/>
                  <w:sz w:val="22"/>
                  <w:szCs w:val="22"/>
                </w:rPr>
                <w:t>Breen et al. (2016)</w:t>
              </w:r>
            </w:hyperlink>
            <w:r w:rsidRPr="00CA5B96">
              <w:rPr>
                <w:rFonts w:asciiTheme="minorHAnsi" w:hAnsiTheme="minorHAnsi" w:cstheme="minorHAnsi"/>
                <w:color w:val="1F3864" w:themeColor="accent1" w:themeShade="80"/>
                <w:sz w:val="22"/>
                <w:szCs w:val="22"/>
              </w:rPr>
              <w:t xml:space="preserve">; </w:t>
            </w:r>
            <w:hyperlink r:id="rId150" w:history="1">
              <w:r w:rsidRPr="00CA5B96">
                <w:rPr>
                  <w:rStyle w:val="Hyperlink"/>
                  <w:rFonts w:asciiTheme="minorHAnsi" w:hAnsiTheme="minorHAnsi" w:cstheme="minorHAnsi"/>
                  <w:color w:val="023160" w:themeColor="hyperlink" w:themeShade="80"/>
                  <w:sz w:val="22"/>
                  <w:szCs w:val="22"/>
                </w:rPr>
                <w:t>IUCN Policy Briefs</w:t>
              </w:r>
            </w:hyperlink>
            <w:r w:rsidRPr="00CA5B96">
              <w:rPr>
                <w:rFonts w:asciiTheme="minorHAnsi" w:hAnsiTheme="minorHAnsi" w:cstheme="minorHAnsi"/>
                <w:color w:val="1F3864" w:themeColor="accent1" w:themeShade="80"/>
                <w:sz w:val="22"/>
                <w:szCs w:val="22"/>
              </w:rPr>
              <w:t xml:space="preserve">; </w:t>
            </w:r>
            <w:hyperlink r:id="rId151" w:history="1">
              <w:r w:rsidRPr="00CA5B96">
                <w:rPr>
                  <w:rStyle w:val="Hyperlink"/>
                  <w:rFonts w:asciiTheme="minorHAnsi" w:hAnsiTheme="minorHAnsi" w:cstheme="minorHAnsi"/>
                  <w:color w:val="023160" w:themeColor="hyperlink" w:themeShade="80"/>
                  <w:sz w:val="22"/>
                  <w:szCs w:val="22"/>
                </w:rPr>
                <w:t xml:space="preserve">WWF Ocean </w:t>
              </w:r>
              <w:r w:rsidRPr="00CA5B96">
                <w:rPr>
                  <w:rStyle w:val="Hyperlink"/>
                  <w:rFonts w:asciiTheme="minorHAnsi" w:hAnsiTheme="minorHAnsi" w:cstheme="minorHAnsi"/>
                  <w:color w:val="023160" w:themeColor="hyperlink" w:themeShade="80"/>
                  <w:sz w:val="22"/>
                  <w:szCs w:val="22"/>
                </w:rPr>
                <w:lastRenderedPageBreak/>
                <w:t>Governance Reports</w:t>
              </w:r>
            </w:hyperlink>
          </w:p>
        </w:tc>
        <w:tc>
          <w:tcPr>
            <w:tcW w:w="0" w:type="auto"/>
            <w:hideMark/>
          </w:tcPr>
          <w:p w14:paraId="12E7774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Breen et al. (2016) show NGOs as agenda</w:t>
            </w:r>
            <w:r w:rsidRPr="00CA5B96">
              <w:rPr>
                <w:rFonts w:asciiTheme="minorHAnsi" w:hAnsiTheme="minorHAnsi" w:cstheme="minorHAnsi"/>
                <w:color w:val="1F3864" w:themeColor="accent1" w:themeShade="80"/>
                <w:sz w:val="22"/>
                <w:szCs w:val="22"/>
              </w:rPr>
              <w:noBreakHyphen/>
              <w:t xml:space="preserve">setters and watchdogs </w:t>
            </w:r>
            <w:r w:rsidRPr="00CA5B96">
              <w:rPr>
                <w:rFonts w:asciiTheme="minorHAnsi" w:hAnsiTheme="minorHAnsi" w:cstheme="minorHAnsi"/>
                <w:color w:val="1F3864" w:themeColor="accent1" w:themeShade="80"/>
                <w:sz w:val="22"/>
                <w:szCs w:val="22"/>
              </w:rPr>
              <w:lastRenderedPageBreak/>
              <w:t>in marine policy. IUCN and WWF bring science</w:t>
            </w:r>
            <w:r w:rsidRPr="00CA5B96">
              <w:rPr>
                <w:rFonts w:asciiTheme="minorHAnsi" w:hAnsiTheme="minorHAnsi" w:cstheme="minorHAnsi"/>
                <w:color w:val="1F3864" w:themeColor="accent1" w:themeShade="80"/>
                <w:sz w:val="22"/>
                <w:szCs w:val="22"/>
              </w:rPr>
              <w:noBreakHyphen/>
              <w:t>policy advocacy into intergovernmental fora.</w:t>
            </w:r>
          </w:p>
        </w:tc>
        <w:tc>
          <w:tcPr>
            <w:tcW w:w="0" w:type="auto"/>
            <w:hideMark/>
          </w:tcPr>
          <w:p w14:paraId="54D8727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Observer status, co</w:t>
            </w:r>
            <w:r w:rsidRPr="00CA5B96">
              <w:rPr>
                <w:rFonts w:asciiTheme="minorHAnsi" w:hAnsiTheme="minorHAnsi" w:cstheme="minorHAnsi"/>
                <w:color w:val="1F3864" w:themeColor="accent1" w:themeShade="80"/>
                <w:sz w:val="22"/>
                <w:szCs w:val="22"/>
              </w:rPr>
              <w:noBreakHyphen/>
              <w:t xml:space="preserve">management agreements, </w:t>
            </w:r>
            <w:r w:rsidRPr="00CA5B96">
              <w:rPr>
                <w:rFonts w:asciiTheme="minorHAnsi" w:hAnsiTheme="minorHAnsi" w:cstheme="minorHAnsi"/>
                <w:color w:val="1F3864" w:themeColor="accent1" w:themeShade="80"/>
                <w:sz w:val="22"/>
                <w:szCs w:val="22"/>
              </w:rPr>
              <w:lastRenderedPageBreak/>
              <w:t>advocacy coalitions</w:t>
            </w:r>
          </w:p>
        </w:tc>
        <w:tc>
          <w:tcPr>
            <w:tcW w:w="0" w:type="auto"/>
            <w:hideMark/>
          </w:tcPr>
          <w:p w14:paraId="0EABAFCC"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 xml:space="preserve">Injects independent expertise and public </w:t>
            </w:r>
            <w:r w:rsidRPr="00CA5B96">
              <w:rPr>
                <w:rFonts w:asciiTheme="minorHAnsi" w:hAnsiTheme="minorHAnsi" w:cstheme="minorHAnsi"/>
                <w:color w:val="1F3864" w:themeColor="accent1" w:themeShade="80"/>
                <w:sz w:val="22"/>
                <w:szCs w:val="22"/>
              </w:rPr>
              <w:lastRenderedPageBreak/>
              <w:t>accountability.</w:t>
            </w:r>
          </w:p>
        </w:tc>
        <w:tc>
          <w:tcPr>
            <w:tcW w:w="0" w:type="auto"/>
            <w:hideMark/>
          </w:tcPr>
          <w:p w14:paraId="6B83EEE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 xml:space="preserve">Power imbalances, resource dependency, </w:t>
            </w:r>
            <w:r w:rsidRPr="00CA5B96">
              <w:rPr>
                <w:rFonts w:asciiTheme="minorHAnsi" w:hAnsiTheme="minorHAnsi" w:cstheme="minorHAnsi"/>
                <w:color w:val="1F3864" w:themeColor="accent1" w:themeShade="80"/>
                <w:sz w:val="22"/>
                <w:szCs w:val="22"/>
              </w:rPr>
              <w:lastRenderedPageBreak/>
              <w:t>advocacy politicisation.</w:t>
            </w:r>
          </w:p>
        </w:tc>
      </w:tr>
      <w:tr w:rsidR="00CA5B96" w:rsidRPr="00CA5B96" w14:paraId="1CFE0A84" w14:textId="77777777" w:rsidTr="00CA5B96">
        <w:tc>
          <w:tcPr>
            <w:tcW w:w="0" w:type="auto"/>
            <w:hideMark/>
          </w:tcPr>
          <w:p w14:paraId="7B219C1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lastRenderedPageBreak/>
              <w:t>Private Sector Partnerships</w:t>
            </w:r>
          </w:p>
        </w:tc>
        <w:tc>
          <w:tcPr>
            <w:tcW w:w="0" w:type="auto"/>
            <w:hideMark/>
          </w:tcPr>
          <w:p w14:paraId="536D02F4" w14:textId="77777777" w:rsidR="00CA5B96" w:rsidRPr="00CA5B96" w:rsidRDefault="00CA5B96" w:rsidP="00CA5B96">
            <w:pPr>
              <w:rPr>
                <w:rFonts w:asciiTheme="minorHAnsi" w:hAnsiTheme="minorHAnsi" w:cstheme="minorHAnsi"/>
                <w:color w:val="1F3864" w:themeColor="accent1" w:themeShade="80"/>
                <w:sz w:val="22"/>
                <w:szCs w:val="22"/>
              </w:rPr>
            </w:pPr>
            <w:hyperlink r:id="rId152" w:history="1">
              <w:r w:rsidRPr="00CA5B96">
                <w:rPr>
                  <w:rStyle w:val="Hyperlink"/>
                  <w:rFonts w:asciiTheme="minorHAnsi" w:hAnsiTheme="minorHAnsi" w:cstheme="minorHAnsi"/>
                  <w:color w:val="023160" w:themeColor="hyperlink" w:themeShade="80"/>
                  <w:sz w:val="22"/>
                  <w:szCs w:val="22"/>
                </w:rPr>
                <w:t>OECD (2019)</w:t>
              </w:r>
            </w:hyperlink>
            <w:r w:rsidRPr="00CA5B96">
              <w:rPr>
                <w:rFonts w:asciiTheme="minorHAnsi" w:hAnsiTheme="minorHAnsi" w:cstheme="minorHAnsi"/>
                <w:color w:val="1F3864" w:themeColor="accent1" w:themeShade="80"/>
                <w:sz w:val="22"/>
                <w:szCs w:val="22"/>
              </w:rPr>
              <w:t xml:space="preserve">; </w:t>
            </w:r>
            <w:hyperlink r:id="rId153" w:history="1">
              <w:r w:rsidRPr="00CA5B96">
                <w:rPr>
                  <w:rStyle w:val="Hyperlink"/>
                  <w:rFonts w:asciiTheme="minorHAnsi" w:hAnsiTheme="minorHAnsi" w:cstheme="minorHAnsi"/>
                  <w:color w:val="023160" w:themeColor="hyperlink" w:themeShade="80"/>
                  <w:sz w:val="22"/>
                  <w:szCs w:val="22"/>
                </w:rPr>
                <w:t>World Ocean Council Publications</w:t>
              </w:r>
            </w:hyperlink>
            <w:r w:rsidRPr="00CA5B96">
              <w:rPr>
                <w:rFonts w:asciiTheme="minorHAnsi" w:hAnsiTheme="minorHAnsi" w:cstheme="minorHAnsi"/>
                <w:color w:val="1F3864" w:themeColor="accent1" w:themeShade="80"/>
                <w:sz w:val="22"/>
                <w:szCs w:val="22"/>
              </w:rPr>
              <w:t xml:space="preserve">; </w:t>
            </w:r>
            <w:hyperlink r:id="rId154" w:history="1">
              <w:r w:rsidRPr="00CA5B96">
                <w:rPr>
                  <w:rStyle w:val="Hyperlink"/>
                  <w:rFonts w:asciiTheme="minorHAnsi" w:hAnsiTheme="minorHAnsi" w:cstheme="minorHAnsi"/>
                  <w:color w:val="023160" w:themeColor="hyperlink" w:themeShade="80"/>
                  <w:sz w:val="22"/>
                  <w:szCs w:val="22"/>
                </w:rPr>
                <w:t>UN Global Compact Ocean Principles</w:t>
              </w:r>
            </w:hyperlink>
          </w:p>
        </w:tc>
        <w:tc>
          <w:tcPr>
            <w:tcW w:w="0" w:type="auto"/>
            <w:hideMark/>
          </w:tcPr>
          <w:p w14:paraId="18172F1F"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OECD (2019) frames industry as both driver and beneficiary of sustainable blue growth. The World Ocean Council promotes responsible ocean business practice. UN Global Compact principles encourage corporate alignment with SDG 14.</w:t>
            </w:r>
          </w:p>
        </w:tc>
        <w:tc>
          <w:tcPr>
            <w:tcW w:w="0" w:type="auto"/>
            <w:hideMark/>
          </w:tcPr>
          <w:p w14:paraId="4C7781F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Public</w:t>
            </w:r>
            <w:r w:rsidRPr="00CA5B96">
              <w:rPr>
                <w:rFonts w:asciiTheme="minorHAnsi" w:hAnsiTheme="minorHAnsi" w:cstheme="minorHAnsi"/>
                <w:color w:val="1F3864" w:themeColor="accent1" w:themeShade="80"/>
                <w:sz w:val="22"/>
                <w:szCs w:val="22"/>
              </w:rPr>
              <w:noBreakHyphen/>
              <w:t>private partnership frameworks, voluntary codes, investment compacts</w:t>
            </w:r>
          </w:p>
        </w:tc>
        <w:tc>
          <w:tcPr>
            <w:tcW w:w="0" w:type="auto"/>
            <w:hideMark/>
          </w:tcPr>
          <w:p w14:paraId="1FC2BCE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Mobilises finance, technology, and innovation capacity.</w:t>
            </w:r>
          </w:p>
        </w:tc>
        <w:tc>
          <w:tcPr>
            <w:tcW w:w="0" w:type="auto"/>
            <w:hideMark/>
          </w:tcPr>
          <w:p w14:paraId="0CD686CC"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Conflicts of interest, profit</w:t>
            </w:r>
            <w:r w:rsidRPr="00CA5B96">
              <w:rPr>
                <w:rFonts w:asciiTheme="minorHAnsi" w:hAnsiTheme="minorHAnsi" w:cstheme="minorHAnsi"/>
                <w:color w:val="1F3864" w:themeColor="accent1" w:themeShade="80"/>
                <w:sz w:val="22"/>
                <w:szCs w:val="22"/>
              </w:rPr>
              <w:noBreakHyphen/>
              <w:t>driven priorities, weak accountability.</w:t>
            </w:r>
          </w:p>
        </w:tc>
      </w:tr>
      <w:tr w:rsidR="00CA5B96" w:rsidRPr="00CA5B96" w14:paraId="22AD252F" w14:textId="77777777" w:rsidTr="00CA5B96">
        <w:tc>
          <w:tcPr>
            <w:tcW w:w="0" w:type="auto"/>
            <w:hideMark/>
          </w:tcPr>
          <w:p w14:paraId="58E62B97"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Scientific Community Linkages</w:t>
            </w:r>
          </w:p>
        </w:tc>
        <w:tc>
          <w:tcPr>
            <w:tcW w:w="0" w:type="auto"/>
            <w:hideMark/>
          </w:tcPr>
          <w:p w14:paraId="11231E32" w14:textId="77777777" w:rsidR="00CA5B96" w:rsidRPr="00CA5B96" w:rsidRDefault="00CA5B96" w:rsidP="00CA5B96">
            <w:pPr>
              <w:rPr>
                <w:rFonts w:asciiTheme="minorHAnsi" w:hAnsiTheme="minorHAnsi" w:cstheme="minorHAnsi"/>
                <w:color w:val="1F3864" w:themeColor="accent1" w:themeShade="80"/>
                <w:sz w:val="22"/>
                <w:szCs w:val="22"/>
              </w:rPr>
            </w:pPr>
            <w:hyperlink r:id="rId155" w:history="1">
              <w:r w:rsidRPr="00CA5B96">
                <w:rPr>
                  <w:rStyle w:val="Hyperlink"/>
                  <w:rFonts w:asciiTheme="minorHAnsi" w:hAnsiTheme="minorHAnsi" w:cstheme="minorHAnsi"/>
                  <w:color w:val="023160" w:themeColor="hyperlink" w:themeShade="80"/>
                  <w:sz w:val="22"/>
                  <w:szCs w:val="22"/>
                </w:rPr>
                <w:t>IOC</w:t>
              </w:r>
              <w:r w:rsidRPr="00CA5B96">
                <w:rPr>
                  <w:rStyle w:val="Hyperlink"/>
                  <w:rFonts w:asciiTheme="minorHAnsi" w:hAnsiTheme="minorHAnsi" w:cstheme="minorHAnsi"/>
                  <w:color w:val="023160" w:themeColor="hyperlink" w:themeShade="80"/>
                  <w:sz w:val="22"/>
                  <w:szCs w:val="22"/>
                </w:rPr>
                <w:noBreakHyphen/>
                <w:t>UNESCO (2017)</w:t>
              </w:r>
            </w:hyperlink>
            <w:r w:rsidRPr="00CA5B96">
              <w:rPr>
                <w:rFonts w:asciiTheme="minorHAnsi" w:hAnsiTheme="minorHAnsi" w:cstheme="minorHAnsi"/>
                <w:color w:val="1F3864" w:themeColor="accent1" w:themeShade="80"/>
                <w:sz w:val="22"/>
                <w:szCs w:val="22"/>
              </w:rPr>
              <w:t xml:space="preserve">; </w:t>
            </w:r>
            <w:hyperlink r:id="rId156" w:history="1">
              <w:proofErr w:type="spellStart"/>
              <w:r w:rsidRPr="00CA5B96">
                <w:rPr>
                  <w:rStyle w:val="Hyperlink"/>
                  <w:rFonts w:asciiTheme="minorHAnsi" w:hAnsiTheme="minorHAnsi" w:cstheme="minorHAnsi"/>
                  <w:color w:val="023160" w:themeColor="hyperlink" w:themeShade="80"/>
                  <w:sz w:val="22"/>
                  <w:szCs w:val="22"/>
                </w:rPr>
                <w:t>Prideaux</w:t>
              </w:r>
              <w:proofErr w:type="spellEnd"/>
              <w:r w:rsidRPr="00CA5B96">
                <w:rPr>
                  <w:rStyle w:val="Hyperlink"/>
                  <w:rFonts w:asciiTheme="minorHAnsi" w:hAnsiTheme="minorHAnsi" w:cstheme="minorHAnsi"/>
                  <w:color w:val="023160" w:themeColor="hyperlink" w:themeShade="80"/>
                  <w:sz w:val="22"/>
                  <w:szCs w:val="22"/>
                </w:rPr>
                <w:t xml:space="preserve"> et al. (2020)</w:t>
              </w:r>
            </w:hyperlink>
            <w:r w:rsidRPr="00CA5B96">
              <w:rPr>
                <w:rFonts w:asciiTheme="minorHAnsi" w:hAnsiTheme="minorHAnsi" w:cstheme="minorHAnsi"/>
                <w:color w:val="1F3864" w:themeColor="accent1" w:themeShade="80"/>
                <w:sz w:val="22"/>
                <w:szCs w:val="22"/>
              </w:rPr>
              <w:t xml:space="preserve">; </w:t>
            </w:r>
            <w:hyperlink r:id="rId157" w:history="1">
              <w:r w:rsidRPr="00CA5B96">
                <w:rPr>
                  <w:rStyle w:val="Hyperlink"/>
                  <w:rFonts w:asciiTheme="minorHAnsi" w:hAnsiTheme="minorHAnsi" w:cstheme="minorHAnsi"/>
                  <w:color w:val="023160" w:themeColor="hyperlink" w:themeShade="80"/>
                  <w:sz w:val="22"/>
                  <w:szCs w:val="22"/>
                </w:rPr>
                <w:t>IPCC Special Reports</w:t>
              </w:r>
            </w:hyperlink>
          </w:p>
        </w:tc>
        <w:tc>
          <w:tcPr>
            <w:tcW w:w="0" w:type="auto"/>
            <w:hideMark/>
          </w:tcPr>
          <w:p w14:paraId="0B4A0B9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IOC</w:t>
            </w:r>
            <w:r w:rsidRPr="00CA5B96">
              <w:rPr>
                <w:rFonts w:asciiTheme="minorHAnsi" w:hAnsiTheme="minorHAnsi" w:cstheme="minorHAnsi"/>
                <w:color w:val="1F3864" w:themeColor="accent1" w:themeShade="80"/>
                <w:sz w:val="22"/>
                <w:szCs w:val="22"/>
              </w:rPr>
              <w:noBreakHyphen/>
              <w:t>UNESCO (2017) calls for policy</w:t>
            </w:r>
            <w:r w:rsidRPr="00CA5B96">
              <w:rPr>
                <w:rFonts w:asciiTheme="minorHAnsi" w:hAnsiTheme="minorHAnsi" w:cstheme="minorHAnsi"/>
                <w:color w:val="1F3864" w:themeColor="accent1" w:themeShade="80"/>
                <w:sz w:val="22"/>
                <w:szCs w:val="22"/>
              </w:rPr>
              <w:noBreakHyphen/>
              <w:t xml:space="preserve">science interfaces to underpin decisions. </w:t>
            </w:r>
            <w:proofErr w:type="spellStart"/>
            <w:r w:rsidRPr="00CA5B96">
              <w:rPr>
                <w:rFonts w:asciiTheme="minorHAnsi" w:hAnsiTheme="minorHAnsi" w:cstheme="minorHAnsi"/>
                <w:color w:val="1F3864" w:themeColor="accent1" w:themeShade="80"/>
                <w:sz w:val="22"/>
                <w:szCs w:val="22"/>
              </w:rPr>
              <w:t>Prideaux</w:t>
            </w:r>
            <w:proofErr w:type="spellEnd"/>
            <w:r w:rsidRPr="00CA5B96">
              <w:rPr>
                <w:rFonts w:asciiTheme="minorHAnsi" w:hAnsiTheme="minorHAnsi" w:cstheme="minorHAnsi"/>
                <w:color w:val="1F3864" w:themeColor="accent1" w:themeShade="80"/>
                <w:sz w:val="22"/>
                <w:szCs w:val="22"/>
              </w:rPr>
              <w:t> et al. (2020) stress co</w:t>
            </w:r>
            <w:r w:rsidRPr="00CA5B96">
              <w:rPr>
                <w:rFonts w:asciiTheme="minorHAnsi" w:hAnsiTheme="minorHAnsi" w:cstheme="minorHAnsi"/>
                <w:color w:val="1F3864" w:themeColor="accent1" w:themeShade="80"/>
                <w:sz w:val="22"/>
                <w:szCs w:val="22"/>
              </w:rPr>
              <w:noBreakHyphen/>
              <w:t>production of knowledge with scientists. IPCC assessments bridge global science and multilateral policy.</w:t>
            </w:r>
          </w:p>
        </w:tc>
        <w:tc>
          <w:tcPr>
            <w:tcW w:w="0" w:type="auto"/>
            <w:hideMark/>
          </w:tcPr>
          <w:p w14:paraId="32AAF513"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Scientific advisory panels, joint research programmes, assessment reports</w:t>
            </w:r>
          </w:p>
        </w:tc>
        <w:tc>
          <w:tcPr>
            <w:tcW w:w="0" w:type="auto"/>
            <w:hideMark/>
          </w:tcPr>
          <w:p w14:paraId="6388983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Ensures policy is informed by best available evidence.</w:t>
            </w:r>
          </w:p>
        </w:tc>
        <w:tc>
          <w:tcPr>
            <w:tcW w:w="0" w:type="auto"/>
            <w:hideMark/>
          </w:tcPr>
          <w:p w14:paraId="0A45612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Communication gaps, differing timelines, politicisation of science.</w:t>
            </w:r>
          </w:p>
        </w:tc>
      </w:tr>
      <w:tr w:rsidR="00CA5B96" w:rsidRPr="00CA5B96" w14:paraId="6026C5F9" w14:textId="77777777" w:rsidTr="00CA5B96">
        <w:tc>
          <w:tcPr>
            <w:tcW w:w="0" w:type="auto"/>
            <w:hideMark/>
          </w:tcPr>
          <w:p w14:paraId="677833E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Treaty Body Coordination</w:t>
            </w:r>
          </w:p>
        </w:tc>
        <w:tc>
          <w:tcPr>
            <w:tcW w:w="0" w:type="auto"/>
            <w:hideMark/>
          </w:tcPr>
          <w:p w14:paraId="096BBE66" w14:textId="77777777" w:rsidR="00CA5B96" w:rsidRPr="00CA5B96" w:rsidRDefault="00CA5B96" w:rsidP="00CA5B96">
            <w:pPr>
              <w:rPr>
                <w:rFonts w:asciiTheme="minorHAnsi" w:hAnsiTheme="minorHAnsi" w:cstheme="minorHAnsi"/>
                <w:color w:val="1F3864" w:themeColor="accent1" w:themeShade="80"/>
                <w:sz w:val="22"/>
                <w:szCs w:val="22"/>
              </w:rPr>
            </w:pPr>
            <w:hyperlink r:id="rId158" w:history="1">
              <w:r w:rsidRPr="00CA5B96">
                <w:rPr>
                  <w:rStyle w:val="Hyperlink"/>
                  <w:rFonts w:asciiTheme="minorHAnsi" w:hAnsiTheme="minorHAnsi" w:cstheme="minorHAnsi"/>
                  <w:color w:val="023160" w:themeColor="hyperlink" w:themeShade="80"/>
                  <w:sz w:val="22"/>
                  <w:szCs w:val="22"/>
                </w:rPr>
                <w:t xml:space="preserve">Boyle &amp; </w:t>
              </w:r>
              <w:proofErr w:type="spellStart"/>
              <w:r w:rsidRPr="00CA5B96">
                <w:rPr>
                  <w:rStyle w:val="Hyperlink"/>
                  <w:rFonts w:asciiTheme="minorHAnsi" w:hAnsiTheme="minorHAnsi" w:cstheme="minorHAnsi"/>
                  <w:color w:val="023160" w:themeColor="hyperlink" w:themeShade="80"/>
                  <w:sz w:val="22"/>
                  <w:szCs w:val="22"/>
                </w:rPr>
                <w:t>Chinkin</w:t>
              </w:r>
              <w:proofErr w:type="spellEnd"/>
              <w:r w:rsidRPr="00CA5B96">
                <w:rPr>
                  <w:rStyle w:val="Hyperlink"/>
                  <w:rFonts w:asciiTheme="minorHAnsi" w:hAnsiTheme="minorHAnsi" w:cstheme="minorHAnsi"/>
                  <w:color w:val="023160" w:themeColor="hyperlink" w:themeShade="80"/>
                  <w:sz w:val="22"/>
                  <w:szCs w:val="22"/>
                </w:rPr>
                <w:t> (2007)</w:t>
              </w:r>
            </w:hyperlink>
            <w:r w:rsidRPr="00CA5B96">
              <w:rPr>
                <w:rFonts w:asciiTheme="minorHAnsi" w:hAnsiTheme="minorHAnsi" w:cstheme="minorHAnsi"/>
                <w:color w:val="1F3864" w:themeColor="accent1" w:themeShade="80"/>
                <w:sz w:val="22"/>
                <w:szCs w:val="22"/>
              </w:rPr>
              <w:t xml:space="preserve">; </w:t>
            </w:r>
            <w:hyperlink r:id="rId159" w:history="1">
              <w:r w:rsidRPr="00CA5B96">
                <w:rPr>
                  <w:rStyle w:val="Hyperlink"/>
                  <w:rFonts w:asciiTheme="minorHAnsi" w:hAnsiTheme="minorHAnsi" w:cstheme="minorHAnsi"/>
                  <w:color w:val="023160" w:themeColor="hyperlink" w:themeShade="80"/>
                  <w:sz w:val="22"/>
                  <w:szCs w:val="22"/>
                </w:rPr>
                <w:t>UN Treaty Collection</w:t>
              </w:r>
            </w:hyperlink>
            <w:r w:rsidRPr="00CA5B96">
              <w:rPr>
                <w:rFonts w:asciiTheme="minorHAnsi" w:hAnsiTheme="minorHAnsi" w:cstheme="minorHAnsi"/>
                <w:color w:val="1F3864" w:themeColor="accent1" w:themeShade="80"/>
                <w:sz w:val="22"/>
                <w:szCs w:val="22"/>
              </w:rPr>
              <w:t xml:space="preserve">; </w:t>
            </w:r>
            <w:hyperlink r:id="rId160" w:history="1">
              <w:r w:rsidRPr="00CA5B96">
                <w:rPr>
                  <w:rStyle w:val="Hyperlink"/>
                  <w:rFonts w:asciiTheme="minorHAnsi" w:hAnsiTheme="minorHAnsi" w:cstheme="minorHAnsi"/>
                  <w:color w:val="023160" w:themeColor="hyperlink" w:themeShade="80"/>
                  <w:sz w:val="22"/>
                  <w:szCs w:val="22"/>
                </w:rPr>
                <w:t>UNCLOS Implementation Review Reports</w:t>
              </w:r>
            </w:hyperlink>
          </w:p>
        </w:tc>
        <w:tc>
          <w:tcPr>
            <w:tcW w:w="0" w:type="auto"/>
            <w:hideMark/>
          </w:tcPr>
          <w:p w14:paraId="0573F93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 xml:space="preserve">Boyle &amp; </w:t>
            </w:r>
            <w:proofErr w:type="spellStart"/>
            <w:r w:rsidRPr="00CA5B96">
              <w:rPr>
                <w:rFonts w:asciiTheme="minorHAnsi" w:hAnsiTheme="minorHAnsi" w:cstheme="minorHAnsi"/>
                <w:color w:val="1F3864" w:themeColor="accent1" w:themeShade="80"/>
                <w:sz w:val="22"/>
                <w:szCs w:val="22"/>
              </w:rPr>
              <w:t>Chinkin</w:t>
            </w:r>
            <w:proofErr w:type="spellEnd"/>
            <w:r w:rsidRPr="00CA5B96">
              <w:rPr>
                <w:rFonts w:asciiTheme="minorHAnsi" w:hAnsiTheme="minorHAnsi" w:cstheme="minorHAnsi"/>
                <w:color w:val="1F3864" w:themeColor="accent1" w:themeShade="80"/>
                <w:sz w:val="22"/>
                <w:szCs w:val="22"/>
              </w:rPr>
              <w:t> (2007) note that coherence among treaty bodies strengthens rule</w:t>
            </w:r>
            <w:r w:rsidRPr="00CA5B96">
              <w:rPr>
                <w:rFonts w:asciiTheme="minorHAnsi" w:hAnsiTheme="minorHAnsi" w:cstheme="minorHAnsi"/>
                <w:color w:val="1F3864" w:themeColor="accent1" w:themeShade="80"/>
                <w:sz w:val="22"/>
                <w:szCs w:val="22"/>
              </w:rPr>
              <w:noBreakHyphen/>
              <w:t>of</w:t>
            </w:r>
            <w:r w:rsidRPr="00CA5B96">
              <w:rPr>
                <w:rFonts w:asciiTheme="minorHAnsi" w:hAnsiTheme="minorHAnsi" w:cstheme="minorHAnsi"/>
                <w:color w:val="1F3864" w:themeColor="accent1" w:themeShade="80"/>
                <w:sz w:val="22"/>
                <w:szCs w:val="22"/>
              </w:rPr>
              <w:noBreakHyphen/>
              <w:t xml:space="preserve">law in global </w:t>
            </w:r>
            <w:r w:rsidRPr="00CA5B96">
              <w:rPr>
                <w:rFonts w:asciiTheme="minorHAnsi" w:hAnsiTheme="minorHAnsi" w:cstheme="minorHAnsi"/>
                <w:color w:val="1F3864" w:themeColor="accent1" w:themeShade="80"/>
                <w:sz w:val="22"/>
                <w:szCs w:val="22"/>
              </w:rPr>
              <w:lastRenderedPageBreak/>
              <w:t>commons. UNCLOS reviews emphasise aligning implementation committees with related regimes.</w:t>
            </w:r>
          </w:p>
        </w:tc>
        <w:tc>
          <w:tcPr>
            <w:tcW w:w="0" w:type="auto"/>
            <w:hideMark/>
          </w:tcPr>
          <w:p w14:paraId="4D2D7D1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Joint working groups, cross</w:t>
            </w:r>
            <w:r w:rsidRPr="00CA5B96">
              <w:rPr>
                <w:rFonts w:asciiTheme="minorHAnsi" w:hAnsiTheme="minorHAnsi" w:cstheme="minorHAnsi"/>
                <w:color w:val="1F3864" w:themeColor="accent1" w:themeShade="80"/>
                <w:sz w:val="22"/>
                <w:szCs w:val="22"/>
              </w:rPr>
              <w:noBreakHyphen/>
              <w:t>reporting, harmonised compliance procedures</w:t>
            </w:r>
          </w:p>
        </w:tc>
        <w:tc>
          <w:tcPr>
            <w:tcW w:w="0" w:type="auto"/>
            <w:hideMark/>
          </w:tcPr>
          <w:p w14:paraId="6525A73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Avoids fragmentation and leverages synergies between legal regimes.</w:t>
            </w:r>
          </w:p>
        </w:tc>
        <w:tc>
          <w:tcPr>
            <w:tcW w:w="0" w:type="auto"/>
            <w:hideMark/>
          </w:tcPr>
          <w:p w14:paraId="708CAF1C"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Jurisdictional disputes, resource constraints, institutional inertia.</w:t>
            </w:r>
          </w:p>
        </w:tc>
      </w:tr>
      <w:tr w:rsidR="00CA5B96" w:rsidRPr="00CA5B96" w14:paraId="179925D3" w14:textId="77777777" w:rsidTr="00CA5B96">
        <w:tc>
          <w:tcPr>
            <w:tcW w:w="0" w:type="auto"/>
            <w:hideMark/>
          </w:tcPr>
          <w:p w14:paraId="4A85C49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lastRenderedPageBreak/>
              <w:t>Donor Partnerships</w:t>
            </w:r>
          </w:p>
        </w:tc>
        <w:tc>
          <w:tcPr>
            <w:tcW w:w="0" w:type="auto"/>
            <w:hideMark/>
          </w:tcPr>
          <w:p w14:paraId="08D39440" w14:textId="77777777" w:rsidR="00CA5B96" w:rsidRPr="00CA5B96" w:rsidRDefault="00CA5B96" w:rsidP="00CA5B96">
            <w:pPr>
              <w:rPr>
                <w:rFonts w:asciiTheme="minorHAnsi" w:hAnsiTheme="minorHAnsi" w:cstheme="minorHAnsi"/>
                <w:color w:val="1F3864" w:themeColor="accent1" w:themeShade="80"/>
                <w:sz w:val="22"/>
                <w:szCs w:val="22"/>
              </w:rPr>
            </w:pPr>
            <w:hyperlink r:id="rId161" w:history="1">
              <w:r w:rsidRPr="00CA5B96">
                <w:rPr>
                  <w:rStyle w:val="Hyperlink"/>
                  <w:rFonts w:asciiTheme="minorHAnsi" w:hAnsiTheme="minorHAnsi" w:cstheme="minorHAnsi"/>
                  <w:color w:val="023160" w:themeColor="hyperlink" w:themeShade="80"/>
                  <w:sz w:val="22"/>
                  <w:szCs w:val="22"/>
                </w:rPr>
                <w:t>OECD DAC Guidelines</w:t>
              </w:r>
            </w:hyperlink>
            <w:r w:rsidRPr="00CA5B96">
              <w:rPr>
                <w:rFonts w:asciiTheme="minorHAnsi" w:hAnsiTheme="minorHAnsi" w:cstheme="minorHAnsi"/>
                <w:color w:val="1F3864" w:themeColor="accent1" w:themeShade="80"/>
                <w:sz w:val="22"/>
                <w:szCs w:val="22"/>
              </w:rPr>
              <w:t xml:space="preserve">; </w:t>
            </w:r>
            <w:hyperlink r:id="rId162" w:history="1">
              <w:r w:rsidRPr="00CA5B96">
                <w:rPr>
                  <w:rStyle w:val="Hyperlink"/>
                  <w:rFonts w:asciiTheme="minorHAnsi" w:hAnsiTheme="minorHAnsi" w:cstheme="minorHAnsi"/>
                  <w:color w:val="023160" w:themeColor="hyperlink" w:themeShade="80"/>
                  <w:sz w:val="22"/>
                  <w:szCs w:val="22"/>
                </w:rPr>
                <w:t>GEF Partnership Documents</w:t>
              </w:r>
            </w:hyperlink>
            <w:r w:rsidRPr="00CA5B96">
              <w:rPr>
                <w:rFonts w:asciiTheme="minorHAnsi" w:hAnsiTheme="minorHAnsi" w:cstheme="minorHAnsi"/>
                <w:color w:val="1F3864" w:themeColor="accent1" w:themeShade="80"/>
                <w:sz w:val="22"/>
                <w:szCs w:val="22"/>
              </w:rPr>
              <w:t xml:space="preserve">; </w:t>
            </w:r>
            <w:hyperlink r:id="rId163" w:history="1">
              <w:r w:rsidRPr="00CA5B96">
                <w:rPr>
                  <w:rStyle w:val="Hyperlink"/>
                  <w:rFonts w:asciiTheme="minorHAnsi" w:hAnsiTheme="minorHAnsi" w:cstheme="minorHAnsi"/>
                  <w:color w:val="023160" w:themeColor="hyperlink" w:themeShade="80"/>
                  <w:sz w:val="22"/>
                  <w:szCs w:val="22"/>
                </w:rPr>
                <w:t>World Bank Blue Economy Framework (2021)</w:t>
              </w:r>
            </w:hyperlink>
          </w:p>
        </w:tc>
        <w:tc>
          <w:tcPr>
            <w:tcW w:w="0" w:type="auto"/>
            <w:hideMark/>
          </w:tcPr>
          <w:p w14:paraId="37EB01F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OECD DAC guidelines place donor coordination at the core of aid effectiveness. GEF partnerships fund multi</w:t>
            </w:r>
            <w:r w:rsidRPr="00CA5B96">
              <w:rPr>
                <w:rFonts w:asciiTheme="minorHAnsi" w:hAnsiTheme="minorHAnsi" w:cstheme="minorHAnsi"/>
                <w:color w:val="1F3864" w:themeColor="accent1" w:themeShade="80"/>
                <w:sz w:val="22"/>
                <w:szCs w:val="22"/>
              </w:rPr>
              <w:noBreakHyphen/>
              <w:t>country ocean governance projects. The World Bank underscores leveraging donor finance for sustainable blue growth.</w:t>
            </w:r>
          </w:p>
        </w:tc>
        <w:tc>
          <w:tcPr>
            <w:tcW w:w="0" w:type="auto"/>
            <w:hideMark/>
          </w:tcPr>
          <w:p w14:paraId="4DB81D3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Multi</w:t>
            </w:r>
            <w:r w:rsidRPr="00CA5B96">
              <w:rPr>
                <w:rFonts w:asciiTheme="minorHAnsi" w:hAnsiTheme="minorHAnsi" w:cstheme="minorHAnsi"/>
                <w:color w:val="1F3864" w:themeColor="accent1" w:themeShade="80"/>
                <w:sz w:val="22"/>
                <w:szCs w:val="22"/>
              </w:rPr>
              <w:noBreakHyphen/>
              <w:t>donor trust funds, programme</w:t>
            </w:r>
            <w:r w:rsidRPr="00CA5B96">
              <w:rPr>
                <w:rFonts w:asciiTheme="minorHAnsi" w:hAnsiTheme="minorHAnsi" w:cstheme="minorHAnsi"/>
                <w:color w:val="1F3864" w:themeColor="accent1" w:themeShade="80"/>
                <w:sz w:val="22"/>
                <w:szCs w:val="22"/>
              </w:rPr>
              <w:noBreakHyphen/>
              <w:t>based approaches, results frameworks</w:t>
            </w:r>
          </w:p>
        </w:tc>
        <w:tc>
          <w:tcPr>
            <w:tcW w:w="0" w:type="auto"/>
            <w:hideMark/>
          </w:tcPr>
          <w:p w14:paraId="2B461D8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Pools resources, aligns funding with shared priorities.</w:t>
            </w:r>
          </w:p>
        </w:tc>
        <w:tc>
          <w:tcPr>
            <w:tcW w:w="0" w:type="auto"/>
            <w:hideMark/>
          </w:tcPr>
          <w:p w14:paraId="3BE692C3"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Donor</w:t>
            </w:r>
            <w:r w:rsidRPr="00CA5B96">
              <w:rPr>
                <w:rFonts w:asciiTheme="minorHAnsi" w:hAnsiTheme="minorHAnsi" w:cstheme="minorHAnsi"/>
                <w:color w:val="1F3864" w:themeColor="accent1" w:themeShade="80"/>
                <w:sz w:val="22"/>
                <w:szCs w:val="22"/>
              </w:rPr>
              <w:noBreakHyphen/>
              <w:t>driven agendas, funding volatility, reporting burdens.</w:t>
            </w:r>
          </w:p>
        </w:tc>
      </w:tr>
      <w:tr w:rsidR="00CA5B96" w:rsidRPr="00CA5B96" w14:paraId="03D1A24D" w14:textId="77777777" w:rsidTr="00CA5B96">
        <w:tc>
          <w:tcPr>
            <w:tcW w:w="0" w:type="auto"/>
            <w:hideMark/>
          </w:tcPr>
          <w:p w14:paraId="694CC11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Civil Society Engagement</w:t>
            </w:r>
          </w:p>
        </w:tc>
        <w:tc>
          <w:tcPr>
            <w:tcW w:w="0" w:type="auto"/>
            <w:hideMark/>
          </w:tcPr>
          <w:p w14:paraId="4098FE27" w14:textId="77777777" w:rsidR="00CA5B96" w:rsidRPr="00CA5B96" w:rsidRDefault="00CA5B96" w:rsidP="00CA5B96">
            <w:pPr>
              <w:rPr>
                <w:rFonts w:asciiTheme="minorHAnsi" w:hAnsiTheme="minorHAnsi" w:cstheme="minorHAnsi"/>
                <w:color w:val="1F3864" w:themeColor="accent1" w:themeShade="80"/>
                <w:sz w:val="22"/>
                <w:szCs w:val="22"/>
              </w:rPr>
            </w:pPr>
            <w:hyperlink r:id="rId164" w:history="1">
              <w:r w:rsidRPr="00CA5B96">
                <w:rPr>
                  <w:rStyle w:val="Hyperlink"/>
                  <w:rFonts w:asciiTheme="minorHAnsi" w:hAnsiTheme="minorHAnsi" w:cstheme="minorHAnsi"/>
                  <w:color w:val="023160" w:themeColor="hyperlink" w:themeShade="80"/>
                  <w:sz w:val="22"/>
                  <w:szCs w:val="22"/>
                </w:rPr>
                <w:t>UN (2012)</w:t>
              </w:r>
            </w:hyperlink>
            <w:r w:rsidRPr="00CA5B96">
              <w:rPr>
                <w:rFonts w:asciiTheme="minorHAnsi" w:hAnsiTheme="minorHAnsi" w:cstheme="minorHAnsi"/>
                <w:color w:val="1F3864" w:themeColor="accent1" w:themeShade="80"/>
                <w:sz w:val="22"/>
                <w:szCs w:val="22"/>
              </w:rPr>
              <w:t xml:space="preserve">; </w:t>
            </w:r>
            <w:hyperlink r:id="rId165" w:history="1">
              <w:r w:rsidRPr="00CA5B96">
                <w:rPr>
                  <w:rStyle w:val="Hyperlink"/>
                  <w:rFonts w:asciiTheme="minorHAnsi" w:hAnsiTheme="minorHAnsi" w:cstheme="minorHAnsi"/>
                  <w:color w:val="023160" w:themeColor="hyperlink" w:themeShade="80"/>
                  <w:sz w:val="22"/>
                  <w:szCs w:val="22"/>
                </w:rPr>
                <w:t xml:space="preserve">Pomeroy &amp; </w:t>
              </w:r>
              <w:proofErr w:type="spellStart"/>
              <w:r w:rsidRPr="00CA5B96">
                <w:rPr>
                  <w:rStyle w:val="Hyperlink"/>
                  <w:rFonts w:asciiTheme="minorHAnsi" w:hAnsiTheme="minorHAnsi" w:cstheme="minorHAnsi"/>
                  <w:color w:val="023160" w:themeColor="hyperlink" w:themeShade="80"/>
                  <w:sz w:val="22"/>
                  <w:szCs w:val="22"/>
                </w:rPr>
                <w:t>Douvere</w:t>
              </w:r>
              <w:proofErr w:type="spellEnd"/>
              <w:r w:rsidRPr="00CA5B96">
                <w:rPr>
                  <w:rStyle w:val="Hyperlink"/>
                  <w:rFonts w:asciiTheme="minorHAnsi" w:hAnsiTheme="minorHAnsi" w:cstheme="minorHAnsi"/>
                  <w:color w:val="023160" w:themeColor="hyperlink" w:themeShade="80"/>
                  <w:sz w:val="22"/>
                  <w:szCs w:val="22"/>
                </w:rPr>
                <w:t> (2008)</w:t>
              </w:r>
            </w:hyperlink>
            <w:r w:rsidRPr="00CA5B96">
              <w:rPr>
                <w:rFonts w:asciiTheme="minorHAnsi" w:hAnsiTheme="minorHAnsi" w:cstheme="minorHAnsi"/>
                <w:color w:val="1F3864" w:themeColor="accent1" w:themeShade="80"/>
                <w:sz w:val="22"/>
                <w:szCs w:val="22"/>
              </w:rPr>
              <w:t xml:space="preserve">; </w:t>
            </w:r>
            <w:hyperlink r:id="rId166" w:history="1">
              <w:r w:rsidRPr="00CA5B96">
                <w:rPr>
                  <w:rStyle w:val="Hyperlink"/>
                  <w:rFonts w:asciiTheme="minorHAnsi" w:hAnsiTheme="minorHAnsi" w:cstheme="minorHAnsi"/>
                  <w:color w:val="023160" w:themeColor="hyperlink" w:themeShade="80"/>
                  <w:sz w:val="22"/>
                  <w:szCs w:val="22"/>
                </w:rPr>
                <w:t>SDG14 Voluntary Commitments Registry</w:t>
              </w:r>
            </w:hyperlink>
          </w:p>
        </w:tc>
        <w:tc>
          <w:tcPr>
            <w:tcW w:w="0" w:type="auto"/>
            <w:hideMark/>
          </w:tcPr>
          <w:p w14:paraId="485AF3BC"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UN (2012) embeds participatory decision</w:t>
            </w:r>
            <w:r w:rsidRPr="00CA5B96">
              <w:rPr>
                <w:rFonts w:asciiTheme="minorHAnsi" w:hAnsiTheme="minorHAnsi" w:cstheme="minorHAnsi"/>
                <w:color w:val="1F3864" w:themeColor="accent1" w:themeShade="80"/>
                <w:sz w:val="22"/>
                <w:szCs w:val="22"/>
              </w:rPr>
              <w:noBreakHyphen/>
              <w:t xml:space="preserve">making in sustainable development. Pomeroy &amp; </w:t>
            </w:r>
            <w:proofErr w:type="spellStart"/>
            <w:r w:rsidRPr="00CA5B96">
              <w:rPr>
                <w:rFonts w:asciiTheme="minorHAnsi" w:hAnsiTheme="minorHAnsi" w:cstheme="minorHAnsi"/>
                <w:color w:val="1F3864" w:themeColor="accent1" w:themeShade="80"/>
                <w:sz w:val="22"/>
                <w:szCs w:val="22"/>
              </w:rPr>
              <w:t>Douvere</w:t>
            </w:r>
            <w:proofErr w:type="spellEnd"/>
            <w:r w:rsidRPr="00CA5B96">
              <w:rPr>
                <w:rFonts w:asciiTheme="minorHAnsi" w:hAnsiTheme="minorHAnsi" w:cstheme="minorHAnsi"/>
                <w:color w:val="1F3864" w:themeColor="accent1" w:themeShade="80"/>
                <w:sz w:val="22"/>
                <w:szCs w:val="22"/>
              </w:rPr>
              <w:t> (2008) link local empowerment to marine spatial planning success. SDG14 registry tracks stakeholder</w:t>
            </w:r>
            <w:r w:rsidRPr="00CA5B96">
              <w:rPr>
                <w:rFonts w:asciiTheme="minorHAnsi" w:hAnsiTheme="minorHAnsi" w:cstheme="minorHAnsi"/>
                <w:color w:val="1F3864" w:themeColor="accent1" w:themeShade="80"/>
                <w:sz w:val="22"/>
                <w:szCs w:val="22"/>
              </w:rPr>
              <w:noBreakHyphen/>
              <w:t>led commitments.</w:t>
            </w:r>
          </w:p>
        </w:tc>
        <w:tc>
          <w:tcPr>
            <w:tcW w:w="0" w:type="auto"/>
            <w:hideMark/>
          </w:tcPr>
          <w:p w14:paraId="64455DC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Stakeholder fora, participatory mapping, voluntary commitments</w:t>
            </w:r>
          </w:p>
        </w:tc>
        <w:tc>
          <w:tcPr>
            <w:tcW w:w="0" w:type="auto"/>
            <w:hideMark/>
          </w:tcPr>
          <w:p w14:paraId="542B2CA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Builds legitimacy and taps local knowledge.</w:t>
            </w:r>
          </w:p>
        </w:tc>
        <w:tc>
          <w:tcPr>
            <w:tcW w:w="0" w:type="auto"/>
            <w:hideMark/>
          </w:tcPr>
          <w:p w14:paraId="175DC81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Participation fatigue, exclusion of marginal voices, tokenism.</w:t>
            </w:r>
          </w:p>
        </w:tc>
      </w:tr>
      <w:tr w:rsidR="00CA5B96" w:rsidRPr="00CA5B96" w14:paraId="1597568F" w14:textId="77777777" w:rsidTr="00CA5B96">
        <w:tc>
          <w:tcPr>
            <w:tcW w:w="0" w:type="auto"/>
            <w:hideMark/>
          </w:tcPr>
          <w:p w14:paraId="1C4C2131"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Intergovernmental Consultations</w:t>
            </w:r>
          </w:p>
        </w:tc>
        <w:tc>
          <w:tcPr>
            <w:tcW w:w="0" w:type="auto"/>
            <w:hideMark/>
          </w:tcPr>
          <w:p w14:paraId="2FA217A3" w14:textId="77777777" w:rsidR="00CA5B96" w:rsidRPr="00CA5B96" w:rsidRDefault="00CA5B96" w:rsidP="00CA5B96">
            <w:pPr>
              <w:rPr>
                <w:rFonts w:asciiTheme="minorHAnsi" w:hAnsiTheme="minorHAnsi" w:cstheme="minorHAnsi"/>
                <w:color w:val="1F3864" w:themeColor="accent1" w:themeShade="80"/>
                <w:sz w:val="22"/>
                <w:szCs w:val="22"/>
              </w:rPr>
            </w:pPr>
            <w:hyperlink r:id="rId167" w:history="1">
              <w:proofErr w:type="spellStart"/>
              <w:r w:rsidRPr="00CA5B96">
                <w:rPr>
                  <w:rStyle w:val="Hyperlink"/>
                  <w:rFonts w:asciiTheme="minorHAnsi" w:hAnsiTheme="minorHAnsi" w:cstheme="minorHAnsi"/>
                  <w:color w:val="023160" w:themeColor="hyperlink" w:themeShade="80"/>
                  <w:sz w:val="22"/>
                  <w:szCs w:val="22"/>
                </w:rPr>
                <w:t>Chasek</w:t>
              </w:r>
              <w:proofErr w:type="spellEnd"/>
              <w:r w:rsidRPr="00CA5B96">
                <w:rPr>
                  <w:rStyle w:val="Hyperlink"/>
                  <w:rFonts w:asciiTheme="minorHAnsi" w:hAnsiTheme="minorHAnsi" w:cstheme="minorHAnsi"/>
                  <w:color w:val="023160" w:themeColor="hyperlink" w:themeShade="80"/>
                  <w:sz w:val="22"/>
                  <w:szCs w:val="22"/>
                </w:rPr>
                <w:t xml:space="preserve"> et al. (2018)</w:t>
              </w:r>
            </w:hyperlink>
            <w:r w:rsidRPr="00CA5B96">
              <w:rPr>
                <w:rFonts w:asciiTheme="minorHAnsi" w:hAnsiTheme="minorHAnsi" w:cstheme="minorHAnsi"/>
                <w:color w:val="1F3864" w:themeColor="accent1" w:themeShade="80"/>
                <w:sz w:val="22"/>
                <w:szCs w:val="22"/>
              </w:rPr>
              <w:t xml:space="preserve">; </w:t>
            </w:r>
            <w:hyperlink r:id="rId168" w:history="1">
              <w:r w:rsidRPr="00CA5B96">
                <w:rPr>
                  <w:rStyle w:val="Hyperlink"/>
                  <w:rFonts w:asciiTheme="minorHAnsi" w:hAnsiTheme="minorHAnsi" w:cstheme="minorHAnsi"/>
                  <w:color w:val="023160" w:themeColor="hyperlink" w:themeShade="80"/>
                  <w:sz w:val="22"/>
                  <w:szCs w:val="22"/>
                </w:rPr>
                <w:t>UNGA Ocean Dialogues Reports</w:t>
              </w:r>
            </w:hyperlink>
            <w:r w:rsidRPr="00CA5B96">
              <w:rPr>
                <w:rFonts w:asciiTheme="minorHAnsi" w:hAnsiTheme="minorHAnsi" w:cstheme="minorHAnsi"/>
                <w:color w:val="1F3864" w:themeColor="accent1" w:themeShade="80"/>
                <w:sz w:val="22"/>
                <w:szCs w:val="22"/>
              </w:rPr>
              <w:t xml:space="preserve">; </w:t>
            </w:r>
            <w:hyperlink r:id="rId169" w:history="1">
              <w:r w:rsidRPr="00CA5B96">
                <w:rPr>
                  <w:rStyle w:val="Hyperlink"/>
                  <w:rFonts w:asciiTheme="minorHAnsi" w:hAnsiTheme="minorHAnsi" w:cstheme="minorHAnsi"/>
                  <w:color w:val="023160" w:themeColor="hyperlink" w:themeShade="80"/>
                  <w:sz w:val="22"/>
                  <w:szCs w:val="22"/>
                </w:rPr>
                <w:t xml:space="preserve">G7/G20 Environment </w:t>
              </w:r>
              <w:proofErr w:type="spellStart"/>
              <w:r w:rsidRPr="00CA5B96">
                <w:rPr>
                  <w:rStyle w:val="Hyperlink"/>
                  <w:rFonts w:asciiTheme="minorHAnsi" w:hAnsiTheme="minorHAnsi" w:cstheme="minorHAnsi"/>
                  <w:color w:val="023160" w:themeColor="hyperlink" w:themeShade="80"/>
                  <w:sz w:val="22"/>
                  <w:szCs w:val="22"/>
                </w:rPr>
                <w:t>Ministerials</w:t>
              </w:r>
              <w:proofErr w:type="spellEnd"/>
            </w:hyperlink>
          </w:p>
        </w:tc>
        <w:tc>
          <w:tcPr>
            <w:tcW w:w="0" w:type="auto"/>
            <w:hideMark/>
          </w:tcPr>
          <w:p w14:paraId="7871A2F3"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t>Chasek</w:t>
            </w:r>
            <w:proofErr w:type="spellEnd"/>
            <w:r w:rsidRPr="00CA5B96">
              <w:rPr>
                <w:rFonts w:asciiTheme="minorHAnsi" w:hAnsiTheme="minorHAnsi" w:cstheme="minorHAnsi"/>
                <w:color w:val="1F3864" w:themeColor="accent1" w:themeShade="80"/>
                <w:sz w:val="22"/>
                <w:szCs w:val="22"/>
              </w:rPr>
              <w:t xml:space="preserve"> et al. (2018) describe intergovernmental negotiation as the arena for norm development. </w:t>
            </w:r>
            <w:r w:rsidRPr="00CA5B96">
              <w:rPr>
                <w:rFonts w:asciiTheme="minorHAnsi" w:hAnsiTheme="minorHAnsi" w:cstheme="minorHAnsi"/>
                <w:color w:val="1F3864" w:themeColor="accent1" w:themeShade="80"/>
                <w:sz w:val="22"/>
                <w:szCs w:val="22"/>
              </w:rPr>
              <w:lastRenderedPageBreak/>
              <w:t>UNGA dialogues facilitate consensus</w:t>
            </w:r>
            <w:r w:rsidRPr="00CA5B96">
              <w:rPr>
                <w:rFonts w:asciiTheme="minorHAnsi" w:hAnsiTheme="minorHAnsi" w:cstheme="minorHAnsi"/>
                <w:color w:val="1F3864" w:themeColor="accent1" w:themeShade="80"/>
                <w:sz w:val="22"/>
                <w:szCs w:val="22"/>
              </w:rPr>
              <w:noBreakHyphen/>
              <w:t>building on ocean issues. G7/G20 communiqués signal high</w:t>
            </w:r>
            <w:r w:rsidRPr="00CA5B96">
              <w:rPr>
                <w:rFonts w:asciiTheme="minorHAnsi" w:hAnsiTheme="minorHAnsi" w:cstheme="minorHAnsi"/>
                <w:color w:val="1F3864" w:themeColor="accent1" w:themeShade="80"/>
                <w:sz w:val="22"/>
                <w:szCs w:val="22"/>
              </w:rPr>
              <w:noBreakHyphen/>
              <w:t>level political alignment.</w:t>
            </w:r>
          </w:p>
        </w:tc>
        <w:tc>
          <w:tcPr>
            <w:tcW w:w="0" w:type="auto"/>
            <w:hideMark/>
          </w:tcPr>
          <w:p w14:paraId="3A854335"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lastRenderedPageBreak/>
              <w:t>Ministerials</w:t>
            </w:r>
            <w:proofErr w:type="spellEnd"/>
            <w:r w:rsidRPr="00CA5B96">
              <w:rPr>
                <w:rFonts w:asciiTheme="minorHAnsi" w:hAnsiTheme="minorHAnsi" w:cstheme="minorHAnsi"/>
                <w:color w:val="1F3864" w:themeColor="accent1" w:themeShade="80"/>
                <w:sz w:val="22"/>
                <w:szCs w:val="22"/>
              </w:rPr>
              <w:t>, thematic dialogues, summit declarations</w:t>
            </w:r>
          </w:p>
        </w:tc>
        <w:tc>
          <w:tcPr>
            <w:tcW w:w="0" w:type="auto"/>
            <w:hideMark/>
          </w:tcPr>
          <w:p w14:paraId="2570168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Shapes global norms and mobilises political will.</w:t>
            </w:r>
          </w:p>
        </w:tc>
        <w:tc>
          <w:tcPr>
            <w:tcW w:w="0" w:type="auto"/>
            <w:hideMark/>
          </w:tcPr>
          <w:p w14:paraId="581E184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Diplomatic deadlock, politicisation, consensus</w:t>
            </w:r>
            <w:r w:rsidRPr="00CA5B96">
              <w:rPr>
                <w:rFonts w:asciiTheme="minorHAnsi" w:hAnsiTheme="minorHAnsi" w:cstheme="minorHAnsi"/>
                <w:color w:val="1F3864" w:themeColor="accent1" w:themeShade="80"/>
                <w:sz w:val="22"/>
                <w:szCs w:val="22"/>
              </w:rPr>
              <w:noBreakHyphen/>
              <w:t>driven dilution.</w:t>
            </w:r>
          </w:p>
        </w:tc>
      </w:tr>
      <w:tr w:rsidR="00CA5B96" w:rsidRPr="00CA5B96" w14:paraId="58EC392E" w14:textId="77777777" w:rsidTr="00CA5B96">
        <w:tc>
          <w:tcPr>
            <w:tcW w:w="0" w:type="auto"/>
            <w:hideMark/>
          </w:tcPr>
          <w:p w14:paraId="69E066D7"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Technical or Expert Groups</w:t>
            </w:r>
          </w:p>
        </w:tc>
        <w:tc>
          <w:tcPr>
            <w:tcW w:w="0" w:type="auto"/>
            <w:hideMark/>
          </w:tcPr>
          <w:p w14:paraId="60D63D77" w14:textId="77777777" w:rsidR="00CA5B96" w:rsidRPr="00CA5B96" w:rsidRDefault="00CA5B96" w:rsidP="00CA5B96">
            <w:pPr>
              <w:rPr>
                <w:rFonts w:asciiTheme="minorHAnsi" w:hAnsiTheme="minorHAnsi" w:cstheme="minorHAnsi"/>
                <w:color w:val="1F3864" w:themeColor="accent1" w:themeShade="80"/>
                <w:sz w:val="22"/>
                <w:szCs w:val="22"/>
              </w:rPr>
            </w:pPr>
            <w:hyperlink r:id="rId170" w:history="1">
              <w:r w:rsidRPr="00CA5B96">
                <w:rPr>
                  <w:rStyle w:val="Hyperlink"/>
                  <w:rFonts w:asciiTheme="minorHAnsi" w:hAnsiTheme="minorHAnsi" w:cstheme="minorHAnsi"/>
                  <w:color w:val="023160" w:themeColor="hyperlink" w:themeShade="80"/>
                  <w:sz w:val="22"/>
                  <w:szCs w:val="22"/>
                </w:rPr>
                <w:t>FAO Expert Consultation Reports</w:t>
              </w:r>
            </w:hyperlink>
            <w:r w:rsidRPr="00CA5B96">
              <w:rPr>
                <w:rFonts w:asciiTheme="minorHAnsi" w:hAnsiTheme="minorHAnsi" w:cstheme="minorHAnsi"/>
                <w:color w:val="1F3864" w:themeColor="accent1" w:themeShade="80"/>
                <w:sz w:val="22"/>
                <w:szCs w:val="22"/>
              </w:rPr>
              <w:t xml:space="preserve">; </w:t>
            </w:r>
            <w:hyperlink r:id="rId171" w:history="1">
              <w:r w:rsidRPr="00CA5B96">
                <w:rPr>
                  <w:rStyle w:val="Hyperlink"/>
                  <w:rFonts w:asciiTheme="minorHAnsi" w:hAnsiTheme="minorHAnsi" w:cstheme="minorHAnsi"/>
                  <w:color w:val="023160" w:themeColor="hyperlink" w:themeShade="80"/>
                  <w:sz w:val="22"/>
                  <w:szCs w:val="22"/>
                </w:rPr>
                <w:t>IMO Expert Working Group Outputs</w:t>
              </w:r>
            </w:hyperlink>
            <w:r w:rsidRPr="00CA5B96">
              <w:rPr>
                <w:rFonts w:asciiTheme="minorHAnsi" w:hAnsiTheme="minorHAnsi" w:cstheme="minorHAnsi"/>
                <w:color w:val="1F3864" w:themeColor="accent1" w:themeShade="80"/>
                <w:sz w:val="22"/>
                <w:szCs w:val="22"/>
              </w:rPr>
              <w:t xml:space="preserve">; </w:t>
            </w:r>
            <w:hyperlink r:id="rId172" w:history="1">
              <w:r w:rsidRPr="00CA5B96">
                <w:rPr>
                  <w:rStyle w:val="Hyperlink"/>
                  <w:rFonts w:asciiTheme="minorHAnsi" w:hAnsiTheme="minorHAnsi" w:cstheme="minorHAnsi"/>
                  <w:color w:val="023160" w:themeColor="hyperlink" w:themeShade="80"/>
                  <w:sz w:val="22"/>
                  <w:szCs w:val="22"/>
                </w:rPr>
                <w:t>IPBES Methodological Assessments</w:t>
              </w:r>
            </w:hyperlink>
          </w:p>
        </w:tc>
        <w:tc>
          <w:tcPr>
            <w:tcW w:w="0" w:type="auto"/>
            <w:hideMark/>
          </w:tcPr>
          <w:p w14:paraId="1600E5A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FAO consultations generate technical standards for fisheries and aquaculture. IMO expert groups develop maritime safety and pollution protocols. IPBES assessments integrate multidisciplinary expertise for biodiversity policy.</w:t>
            </w:r>
          </w:p>
        </w:tc>
        <w:tc>
          <w:tcPr>
            <w:tcW w:w="0" w:type="auto"/>
            <w:hideMark/>
          </w:tcPr>
          <w:p w14:paraId="3B7644C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Expert panels, standard</w:t>
            </w:r>
            <w:r w:rsidRPr="00CA5B96">
              <w:rPr>
                <w:rFonts w:asciiTheme="minorHAnsi" w:hAnsiTheme="minorHAnsi" w:cstheme="minorHAnsi"/>
                <w:color w:val="1F3864" w:themeColor="accent1" w:themeShade="80"/>
                <w:sz w:val="22"/>
                <w:szCs w:val="22"/>
              </w:rPr>
              <w:noBreakHyphen/>
              <w:t>setting workshops, peer</w:t>
            </w:r>
            <w:r w:rsidRPr="00CA5B96">
              <w:rPr>
                <w:rFonts w:asciiTheme="minorHAnsi" w:hAnsiTheme="minorHAnsi" w:cstheme="minorHAnsi"/>
                <w:color w:val="1F3864" w:themeColor="accent1" w:themeShade="80"/>
                <w:sz w:val="22"/>
                <w:szCs w:val="22"/>
              </w:rPr>
              <w:noBreakHyphen/>
              <w:t>reviewed outputs</w:t>
            </w:r>
          </w:p>
        </w:tc>
        <w:tc>
          <w:tcPr>
            <w:tcW w:w="0" w:type="auto"/>
            <w:hideMark/>
          </w:tcPr>
          <w:p w14:paraId="433A5B3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Provides specialised, credible input to policy processes.</w:t>
            </w:r>
          </w:p>
        </w:tc>
        <w:tc>
          <w:tcPr>
            <w:tcW w:w="0" w:type="auto"/>
            <w:hideMark/>
          </w:tcPr>
          <w:p w14:paraId="30CA38A7"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Limited representativeness, resource demands, technical</w:t>
            </w:r>
            <w:r w:rsidRPr="00CA5B96">
              <w:rPr>
                <w:rFonts w:asciiTheme="minorHAnsi" w:hAnsiTheme="minorHAnsi" w:cstheme="minorHAnsi"/>
                <w:color w:val="1F3864" w:themeColor="accent1" w:themeShade="80"/>
                <w:sz w:val="22"/>
                <w:szCs w:val="22"/>
              </w:rPr>
              <w:noBreakHyphen/>
              <w:t>policy disconnects.</w:t>
            </w:r>
          </w:p>
        </w:tc>
      </w:tr>
    </w:tbl>
    <w:p w14:paraId="795A83BB" w14:textId="4BB620C3" w:rsidR="00CA5B96" w:rsidRPr="00CA5B96" w:rsidRDefault="00CA5B96" w:rsidP="00CA5B96">
      <w:pPr>
        <w:rPr>
          <w:rFonts w:asciiTheme="minorHAnsi" w:hAnsiTheme="minorHAnsi" w:cstheme="minorHAnsi"/>
          <w:color w:val="1F3864" w:themeColor="accent1" w:themeShade="80"/>
          <w:sz w:val="22"/>
          <w:szCs w:val="22"/>
        </w:rPr>
      </w:pPr>
    </w:p>
    <w:p w14:paraId="27904536" w14:textId="77777777" w:rsidR="00CA5B96" w:rsidRDefault="00CA5B96" w:rsidP="005C63E7">
      <w:pPr>
        <w:rPr>
          <w:rFonts w:asciiTheme="minorHAnsi" w:hAnsiTheme="minorHAnsi" w:cstheme="minorHAnsi"/>
          <w:color w:val="1F3864" w:themeColor="accent1" w:themeShade="80"/>
          <w:sz w:val="22"/>
          <w:szCs w:val="22"/>
        </w:rPr>
      </w:pPr>
    </w:p>
    <w:p w14:paraId="163F3329" w14:textId="77777777" w:rsidR="00CA5B96" w:rsidRDefault="00CA5B96" w:rsidP="005C63E7">
      <w:pPr>
        <w:rPr>
          <w:rFonts w:asciiTheme="minorHAnsi" w:hAnsiTheme="minorHAnsi" w:cstheme="minorHAnsi"/>
          <w:color w:val="1F3864" w:themeColor="accent1" w:themeShade="80"/>
          <w:sz w:val="22"/>
          <w:szCs w:val="22"/>
        </w:rPr>
      </w:pPr>
    </w:p>
    <w:p w14:paraId="32EEA7B6" w14:textId="77777777" w:rsidR="005C63E7" w:rsidRPr="006E2E54" w:rsidRDefault="005C63E7" w:rsidP="005C63E7">
      <w:pPr>
        <w:rPr>
          <w:rFonts w:asciiTheme="minorHAnsi" w:hAnsiTheme="minorHAnsi" w:cstheme="minorHAnsi"/>
          <w:color w:val="1F3864" w:themeColor="accent1" w:themeShade="80"/>
          <w:sz w:val="22"/>
          <w:szCs w:val="22"/>
        </w:rPr>
      </w:pPr>
    </w:p>
    <w:p w14:paraId="08A4AD10"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Vertical Coordination</w:t>
      </w:r>
    </w:p>
    <w:p w14:paraId="76ACB831" w14:textId="468A918A" w:rsidR="00132F2C" w:rsidRPr="00132F2C" w:rsidRDefault="00132F2C" w:rsidP="00132F2C">
      <w:pPr>
        <w:rPr>
          <w:rFonts w:asciiTheme="minorHAnsi" w:hAnsiTheme="minorHAnsi" w:cstheme="minorHAnsi"/>
          <w:color w:val="1F3864" w:themeColor="accent1" w:themeShade="80"/>
          <w:sz w:val="22"/>
          <w:szCs w:val="22"/>
        </w:rPr>
      </w:pPr>
    </w:p>
    <w:p w14:paraId="5B233552" w14:textId="535025BD" w:rsidR="00132F2C" w:rsidRPr="00132F2C" w:rsidRDefault="00132F2C" w:rsidP="00132F2C">
      <w:pPr>
        <w:jc w:val="both"/>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Vertical coordination represents the connective tissue between global mandates and their enactment within national jurisdictions in the ocean economy, operating across institutional scales and sectors. As Churchill and Lowe (1999) demonstrate, the United Nations and its specialised agencies not only generate binding norms but also transmit soft</w:t>
      </w:r>
      <w:r w:rsidRPr="00132F2C">
        <w:rPr>
          <w:rFonts w:asciiTheme="minorHAnsi" w:hAnsiTheme="minorHAnsi" w:cstheme="minorHAnsi"/>
          <w:color w:val="1F3864" w:themeColor="accent1" w:themeShade="80"/>
          <w:sz w:val="22"/>
          <w:szCs w:val="22"/>
        </w:rPr>
        <w:noBreakHyphen/>
        <w:t xml:space="preserve">law guidance that shapes domestic governance practice — a process </w:t>
      </w:r>
      <w:proofErr w:type="spellStart"/>
      <w:r w:rsidRPr="00132F2C">
        <w:rPr>
          <w:rFonts w:asciiTheme="minorHAnsi" w:hAnsiTheme="minorHAnsi" w:cstheme="minorHAnsi"/>
          <w:color w:val="1F3864" w:themeColor="accent1" w:themeShade="80"/>
          <w:sz w:val="22"/>
          <w:szCs w:val="22"/>
        </w:rPr>
        <w:t>Jabour</w:t>
      </w:r>
      <w:proofErr w:type="spellEnd"/>
      <w:r w:rsidRPr="00132F2C">
        <w:rPr>
          <w:rFonts w:asciiTheme="minorHAnsi" w:hAnsiTheme="minorHAnsi" w:cstheme="minorHAnsi"/>
          <w:color w:val="1F3864" w:themeColor="accent1" w:themeShade="80"/>
          <w:sz w:val="22"/>
          <w:szCs w:val="22"/>
        </w:rPr>
        <w:t> and Broderick (2013) highlight as heavily reliant on capacity</w:t>
      </w:r>
      <w:r w:rsidRPr="00132F2C">
        <w:rPr>
          <w:rFonts w:asciiTheme="minorHAnsi" w:hAnsiTheme="minorHAnsi" w:cstheme="minorHAnsi"/>
          <w:color w:val="1F3864" w:themeColor="accent1" w:themeShade="80"/>
          <w:sz w:val="22"/>
          <w:szCs w:val="22"/>
        </w:rPr>
        <w:noBreakHyphen/>
        <w:t>building and technical cooperation. Rochette et al. (2015) and Schäfer (2017) situate regional bodies as critical intermediaries, mediating between global frameworks and national adaptation through ecosystem</w:t>
      </w:r>
      <w:r>
        <w:rPr>
          <w:rFonts w:asciiTheme="minorHAnsi" w:hAnsiTheme="minorHAnsi" w:cstheme="minorHAnsi"/>
          <w:color w:val="1F3864" w:themeColor="accent1" w:themeShade="80"/>
          <w:sz w:val="22"/>
          <w:szCs w:val="22"/>
        </w:rPr>
        <w:t>-</w:t>
      </w:r>
      <w:r w:rsidRPr="00132F2C">
        <w:rPr>
          <w:rFonts w:asciiTheme="minorHAnsi" w:hAnsiTheme="minorHAnsi" w:cstheme="minorHAnsi"/>
          <w:color w:val="1F3864" w:themeColor="accent1" w:themeShade="80"/>
          <w:sz w:val="22"/>
          <w:szCs w:val="22"/>
        </w:rPr>
        <w:t xml:space="preserve">specific agreements, while </w:t>
      </w:r>
      <w:proofErr w:type="spellStart"/>
      <w:r w:rsidRPr="00132F2C">
        <w:rPr>
          <w:rFonts w:asciiTheme="minorHAnsi" w:hAnsiTheme="minorHAnsi" w:cstheme="minorHAnsi"/>
          <w:color w:val="1F3864" w:themeColor="accent1" w:themeShade="80"/>
          <w:sz w:val="22"/>
          <w:szCs w:val="22"/>
        </w:rPr>
        <w:t>Chasek</w:t>
      </w:r>
      <w:proofErr w:type="spellEnd"/>
      <w:r w:rsidRPr="00132F2C">
        <w:rPr>
          <w:rFonts w:asciiTheme="minorHAnsi" w:hAnsiTheme="minorHAnsi" w:cstheme="minorHAnsi"/>
          <w:color w:val="1F3864" w:themeColor="accent1" w:themeShade="80"/>
          <w:sz w:val="22"/>
          <w:szCs w:val="22"/>
        </w:rPr>
        <w:t> et al. (2018) and van Leeuwen (2010) trace how intergovernmental decisions are channelled into the operational workflows of domestic agencies. Vertical linkages extend beyond political steering: Peachey (2015) underlines the long</w:t>
      </w:r>
      <w:r>
        <w:rPr>
          <w:rFonts w:asciiTheme="minorHAnsi" w:hAnsiTheme="minorHAnsi" w:cstheme="minorHAnsi"/>
          <w:color w:val="1F3864" w:themeColor="accent1" w:themeShade="80"/>
          <w:sz w:val="22"/>
          <w:szCs w:val="22"/>
        </w:rPr>
        <w:t>-</w:t>
      </w:r>
      <w:r w:rsidRPr="00132F2C">
        <w:rPr>
          <w:rFonts w:asciiTheme="minorHAnsi" w:hAnsiTheme="minorHAnsi" w:cstheme="minorHAnsi"/>
          <w:color w:val="1F3864" w:themeColor="accent1" w:themeShade="80"/>
          <w:sz w:val="22"/>
          <w:szCs w:val="22"/>
        </w:rPr>
        <w:t xml:space="preserve">term significance of technical assistance in sustaining compliance, and </w:t>
      </w:r>
      <w:proofErr w:type="spellStart"/>
      <w:r w:rsidRPr="00132F2C">
        <w:rPr>
          <w:rFonts w:asciiTheme="minorHAnsi" w:hAnsiTheme="minorHAnsi" w:cstheme="minorHAnsi"/>
          <w:color w:val="1F3864" w:themeColor="accent1" w:themeShade="80"/>
          <w:sz w:val="22"/>
          <w:szCs w:val="22"/>
        </w:rPr>
        <w:t>Cicin</w:t>
      </w:r>
      <w:proofErr w:type="spellEnd"/>
      <w:r w:rsidRPr="00132F2C">
        <w:rPr>
          <w:rFonts w:asciiTheme="minorHAnsi" w:hAnsiTheme="minorHAnsi" w:cstheme="minorHAnsi"/>
          <w:color w:val="1F3864" w:themeColor="accent1" w:themeShade="80"/>
          <w:sz w:val="22"/>
          <w:szCs w:val="22"/>
        </w:rPr>
        <w:noBreakHyphen/>
        <w:t xml:space="preserve">Sain and Knecht (1998) argue for aligning global commitments with national development strategies. The scholarly literature also foregrounds mechanisms that maintain accountability and integration — from Mitchell’s (1998) and </w:t>
      </w:r>
      <w:proofErr w:type="spellStart"/>
      <w:r w:rsidRPr="00132F2C">
        <w:rPr>
          <w:rFonts w:asciiTheme="minorHAnsi" w:hAnsiTheme="minorHAnsi" w:cstheme="minorHAnsi"/>
          <w:color w:val="1F3864" w:themeColor="accent1" w:themeShade="80"/>
          <w:sz w:val="22"/>
          <w:szCs w:val="22"/>
        </w:rPr>
        <w:t>Raustiala</w:t>
      </w:r>
      <w:proofErr w:type="spellEnd"/>
      <w:r w:rsidRPr="00132F2C">
        <w:rPr>
          <w:rFonts w:asciiTheme="minorHAnsi" w:hAnsiTheme="minorHAnsi" w:cstheme="minorHAnsi"/>
          <w:color w:val="1F3864" w:themeColor="accent1" w:themeShade="80"/>
          <w:sz w:val="22"/>
          <w:szCs w:val="22"/>
        </w:rPr>
        <w:t> &amp; Slaughter’s (2002) analyses of compliance reporting, to Ostrom’s (2010) conceptualisation of polycentric, multi</w:t>
      </w:r>
      <w:r>
        <w:rPr>
          <w:rFonts w:asciiTheme="minorHAnsi" w:hAnsiTheme="minorHAnsi" w:cstheme="minorHAnsi"/>
          <w:color w:val="1F3864" w:themeColor="accent1" w:themeShade="80"/>
          <w:sz w:val="22"/>
          <w:szCs w:val="22"/>
        </w:rPr>
        <w:t>-</w:t>
      </w:r>
      <w:r w:rsidRPr="00132F2C">
        <w:rPr>
          <w:rFonts w:asciiTheme="minorHAnsi" w:hAnsiTheme="minorHAnsi" w:cstheme="minorHAnsi"/>
          <w:color w:val="1F3864" w:themeColor="accent1" w:themeShade="80"/>
          <w:sz w:val="22"/>
          <w:szCs w:val="22"/>
        </w:rPr>
        <w:t xml:space="preserve">level planning, and Miller et al.’s (2014) work on interoperable data systems. The following table </w:t>
      </w:r>
      <w:r w:rsidRPr="00132F2C">
        <w:rPr>
          <w:rFonts w:asciiTheme="minorHAnsi" w:hAnsiTheme="minorHAnsi" w:cstheme="minorHAnsi"/>
          <w:color w:val="1F3864" w:themeColor="accent1" w:themeShade="80"/>
          <w:sz w:val="22"/>
          <w:szCs w:val="22"/>
        </w:rPr>
        <w:lastRenderedPageBreak/>
        <w:t xml:space="preserve">synthesises these insights, distilling ten recurrent modes of vertical coordination identified across academic studies and official policy instruments </w:t>
      </w:r>
      <w:r>
        <w:rPr>
          <w:rFonts w:asciiTheme="minorHAnsi" w:hAnsiTheme="minorHAnsi" w:cstheme="minorHAnsi"/>
          <w:color w:val="1F3864" w:themeColor="accent1" w:themeShade="80"/>
          <w:sz w:val="22"/>
          <w:szCs w:val="22"/>
        </w:rPr>
        <w:t>constituting</w:t>
      </w:r>
      <w:r w:rsidRPr="00132F2C">
        <w:rPr>
          <w:rFonts w:asciiTheme="minorHAnsi" w:hAnsiTheme="minorHAnsi" w:cstheme="minorHAnsi"/>
          <w:color w:val="1F3864" w:themeColor="accent1" w:themeShade="80"/>
          <w:sz w:val="22"/>
          <w:szCs w:val="22"/>
        </w:rPr>
        <w:t xml:space="preserve"> IGO practice in global ocean economy governance.</w:t>
      </w:r>
    </w:p>
    <w:p w14:paraId="573F548E" w14:textId="77777777" w:rsidR="00132F2C" w:rsidRPr="00132F2C" w:rsidRDefault="00132F2C" w:rsidP="00132F2C">
      <w:pPr>
        <w:rPr>
          <w:rFonts w:asciiTheme="minorHAnsi" w:hAnsiTheme="minorHAnsi" w:cstheme="minorHAnsi"/>
          <w:color w:val="1F3864" w:themeColor="accent1" w:themeShade="80"/>
          <w:sz w:val="22"/>
          <w:szCs w:val="22"/>
        </w:rPr>
      </w:pPr>
    </w:p>
    <w:p w14:paraId="739FD921" w14:textId="44C492DC" w:rsid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 xml:space="preserve">Comprehensive Table: Vertical Coordination for IGOs in Global Ocean Economy Governance </w:t>
      </w:r>
    </w:p>
    <w:p w14:paraId="53ECF9E6" w14:textId="77777777" w:rsidR="00132F2C" w:rsidRPr="00132F2C" w:rsidRDefault="00132F2C" w:rsidP="00132F2C">
      <w:pPr>
        <w:rPr>
          <w:rFonts w:asciiTheme="minorHAnsi" w:hAnsiTheme="minorHAnsi" w:cstheme="minorHAnsi"/>
          <w:b/>
          <w:bCs/>
          <w:color w:val="1F3864" w:themeColor="accent1" w:themeShade="80"/>
          <w:sz w:val="22"/>
          <w:szCs w:val="22"/>
        </w:rPr>
      </w:pPr>
    </w:p>
    <w:tbl>
      <w:tblPr>
        <w:tblStyle w:val="TableGrid"/>
        <w:tblW w:w="0" w:type="auto"/>
        <w:tblLook w:val="04A0" w:firstRow="1" w:lastRow="0" w:firstColumn="1" w:lastColumn="0" w:noHBand="0" w:noVBand="1"/>
      </w:tblPr>
      <w:tblGrid>
        <w:gridCol w:w="1657"/>
        <w:gridCol w:w="1416"/>
        <w:gridCol w:w="1717"/>
        <w:gridCol w:w="1537"/>
        <w:gridCol w:w="1389"/>
        <w:gridCol w:w="1300"/>
      </w:tblGrid>
      <w:tr w:rsidR="00132F2C" w:rsidRPr="00132F2C" w14:paraId="714A1A5D" w14:textId="77777777" w:rsidTr="00132F2C">
        <w:tc>
          <w:tcPr>
            <w:tcW w:w="0" w:type="auto"/>
            <w:hideMark/>
          </w:tcPr>
          <w:p w14:paraId="5659CCBC"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Vertical Coordination Category</w:t>
            </w:r>
          </w:p>
        </w:tc>
        <w:tc>
          <w:tcPr>
            <w:tcW w:w="0" w:type="auto"/>
            <w:hideMark/>
          </w:tcPr>
          <w:p w14:paraId="4E102AFA"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5D4D9B20"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Key Framing in Literature &amp; Official Documents</w:t>
            </w:r>
          </w:p>
        </w:tc>
        <w:tc>
          <w:tcPr>
            <w:tcW w:w="0" w:type="auto"/>
            <w:hideMark/>
          </w:tcPr>
          <w:p w14:paraId="05450075"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Instruments / Sources</w:t>
            </w:r>
          </w:p>
        </w:tc>
        <w:tc>
          <w:tcPr>
            <w:tcW w:w="0" w:type="auto"/>
            <w:hideMark/>
          </w:tcPr>
          <w:p w14:paraId="432F3636"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Rationale for Categorization</w:t>
            </w:r>
          </w:p>
        </w:tc>
        <w:tc>
          <w:tcPr>
            <w:tcW w:w="0" w:type="auto"/>
            <w:hideMark/>
          </w:tcPr>
          <w:p w14:paraId="053F87D1"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Potential Impediments</w:t>
            </w:r>
          </w:p>
        </w:tc>
      </w:tr>
      <w:tr w:rsidR="00132F2C" w:rsidRPr="00132F2C" w14:paraId="6233B1CE" w14:textId="77777777" w:rsidTr="00132F2C">
        <w:tc>
          <w:tcPr>
            <w:tcW w:w="0" w:type="auto"/>
            <w:hideMark/>
          </w:tcPr>
          <w:p w14:paraId="42E25FE4"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UN to Member States</w:t>
            </w:r>
          </w:p>
        </w:tc>
        <w:tc>
          <w:tcPr>
            <w:tcW w:w="0" w:type="auto"/>
            <w:hideMark/>
          </w:tcPr>
          <w:p w14:paraId="01857C48" w14:textId="77777777" w:rsidR="00132F2C" w:rsidRPr="00132F2C" w:rsidRDefault="00132F2C" w:rsidP="00132F2C">
            <w:pPr>
              <w:rPr>
                <w:rFonts w:asciiTheme="minorHAnsi" w:hAnsiTheme="minorHAnsi" w:cstheme="minorHAnsi"/>
                <w:color w:val="1F3864" w:themeColor="accent1" w:themeShade="80"/>
                <w:sz w:val="22"/>
                <w:szCs w:val="22"/>
              </w:rPr>
            </w:pPr>
            <w:hyperlink r:id="rId173" w:history="1">
              <w:proofErr w:type="spellStart"/>
              <w:r w:rsidRPr="00132F2C">
                <w:rPr>
                  <w:rStyle w:val="Hyperlink"/>
                  <w:rFonts w:asciiTheme="minorHAnsi" w:hAnsiTheme="minorHAnsi" w:cstheme="minorHAnsi"/>
                  <w:color w:val="023160" w:themeColor="hyperlink" w:themeShade="80"/>
                  <w:sz w:val="22"/>
                  <w:szCs w:val="22"/>
                </w:rPr>
                <w:t>Jabour</w:t>
              </w:r>
              <w:proofErr w:type="spellEnd"/>
              <w:r w:rsidRPr="00132F2C">
                <w:rPr>
                  <w:rStyle w:val="Hyperlink"/>
                  <w:rFonts w:asciiTheme="minorHAnsi" w:hAnsiTheme="minorHAnsi" w:cstheme="minorHAnsi"/>
                  <w:color w:val="023160" w:themeColor="hyperlink" w:themeShade="80"/>
                  <w:sz w:val="22"/>
                  <w:szCs w:val="22"/>
                </w:rPr>
                <w:t xml:space="preserve"> &amp; Broderick (2013)</w:t>
              </w:r>
            </w:hyperlink>
            <w:r w:rsidRPr="00132F2C">
              <w:rPr>
                <w:rFonts w:asciiTheme="minorHAnsi" w:hAnsiTheme="minorHAnsi" w:cstheme="minorHAnsi"/>
                <w:color w:val="1F3864" w:themeColor="accent1" w:themeShade="80"/>
                <w:sz w:val="22"/>
                <w:szCs w:val="22"/>
              </w:rPr>
              <w:t xml:space="preserve">; </w:t>
            </w:r>
            <w:hyperlink r:id="rId174" w:history="1">
              <w:r w:rsidRPr="00132F2C">
                <w:rPr>
                  <w:rStyle w:val="Hyperlink"/>
                  <w:rFonts w:asciiTheme="minorHAnsi" w:hAnsiTheme="minorHAnsi" w:cstheme="minorHAnsi"/>
                  <w:color w:val="023160" w:themeColor="hyperlink" w:themeShade="80"/>
                  <w:sz w:val="22"/>
                  <w:szCs w:val="22"/>
                </w:rPr>
                <w:t>Churchill &amp; Lowe (1999)</w:t>
              </w:r>
            </w:hyperlink>
            <w:r w:rsidRPr="00132F2C">
              <w:rPr>
                <w:rFonts w:asciiTheme="minorHAnsi" w:hAnsiTheme="minorHAnsi" w:cstheme="minorHAnsi"/>
                <w:color w:val="1F3864" w:themeColor="accent1" w:themeShade="80"/>
                <w:sz w:val="22"/>
                <w:szCs w:val="22"/>
              </w:rPr>
              <w:t xml:space="preserve">; </w:t>
            </w:r>
            <w:hyperlink r:id="rId175" w:history="1">
              <w:r w:rsidRPr="00132F2C">
                <w:rPr>
                  <w:rStyle w:val="Hyperlink"/>
                  <w:rFonts w:asciiTheme="minorHAnsi" w:hAnsiTheme="minorHAnsi" w:cstheme="minorHAnsi"/>
                  <w:color w:val="023160" w:themeColor="hyperlink" w:themeShade="80"/>
                  <w:sz w:val="22"/>
                  <w:szCs w:val="22"/>
                </w:rPr>
                <w:t>UNGA Resolutions on Oceans</w:t>
              </w:r>
            </w:hyperlink>
          </w:p>
        </w:tc>
        <w:tc>
          <w:tcPr>
            <w:tcW w:w="0" w:type="auto"/>
            <w:hideMark/>
          </w:tcPr>
          <w:p w14:paraId="78FD9073"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Churchill &amp; Lowe (1999) detail how UN bodies transmit norms via binding and non</w:t>
            </w:r>
            <w:r w:rsidRPr="00132F2C">
              <w:rPr>
                <w:rFonts w:asciiTheme="minorHAnsi" w:hAnsiTheme="minorHAnsi" w:cstheme="minorHAnsi"/>
                <w:color w:val="1F3864" w:themeColor="accent1" w:themeShade="80"/>
                <w:sz w:val="22"/>
                <w:szCs w:val="22"/>
              </w:rPr>
              <w:noBreakHyphen/>
              <w:t xml:space="preserve">binding instruments. </w:t>
            </w:r>
            <w:proofErr w:type="spellStart"/>
            <w:r w:rsidRPr="00132F2C">
              <w:rPr>
                <w:rFonts w:asciiTheme="minorHAnsi" w:hAnsiTheme="minorHAnsi" w:cstheme="minorHAnsi"/>
                <w:color w:val="1F3864" w:themeColor="accent1" w:themeShade="80"/>
                <w:sz w:val="22"/>
                <w:szCs w:val="22"/>
              </w:rPr>
              <w:t>Jabour</w:t>
            </w:r>
            <w:proofErr w:type="spellEnd"/>
            <w:r w:rsidRPr="00132F2C">
              <w:rPr>
                <w:rFonts w:asciiTheme="minorHAnsi" w:hAnsiTheme="minorHAnsi" w:cstheme="minorHAnsi"/>
                <w:color w:val="1F3864" w:themeColor="accent1" w:themeShade="80"/>
                <w:sz w:val="22"/>
                <w:szCs w:val="22"/>
              </w:rPr>
              <w:t xml:space="preserve"> &amp; Broderick (2013) highlight UN capacity</w:t>
            </w:r>
            <w:r w:rsidRPr="00132F2C">
              <w:rPr>
                <w:rFonts w:asciiTheme="minorHAnsi" w:hAnsiTheme="minorHAnsi" w:cstheme="minorHAnsi"/>
                <w:color w:val="1F3864" w:themeColor="accent1" w:themeShade="80"/>
                <w:sz w:val="22"/>
                <w:szCs w:val="22"/>
              </w:rPr>
              <w:noBreakHyphen/>
              <w:t>building’s role in shaping national implementation. UNGA resolutions codify political expectations for States.</w:t>
            </w:r>
          </w:p>
        </w:tc>
        <w:tc>
          <w:tcPr>
            <w:tcW w:w="0" w:type="auto"/>
            <w:hideMark/>
          </w:tcPr>
          <w:p w14:paraId="329B71C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Resolutions, declarations, capacity</w:t>
            </w:r>
            <w:r w:rsidRPr="00132F2C">
              <w:rPr>
                <w:rFonts w:asciiTheme="minorHAnsi" w:hAnsiTheme="minorHAnsi" w:cstheme="minorHAnsi"/>
                <w:color w:val="1F3864" w:themeColor="accent1" w:themeShade="80"/>
                <w:sz w:val="22"/>
                <w:szCs w:val="22"/>
              </w:rPr>
              <w:noBreakHyphen/>
              <w:t>building programmes</w:t>
            </w:r>
          </w:p>
        </w:tc>
        <w:tc>
          <w:tcPr>
            <w:tcW w:w="0" w:type="auto"/>
            <w:hideMark/>
          </w:tcPr>
          <w:p w14:paraId="1067E69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Provides overarching mandate and legitimacy to national action.</w:t>
            </w:r>
          </w:p>
        </w:tc>
        <w:tc>
          <w:tcPr>
            <w:tcW w:w="0" w:type="auto"/>
            <w:hideMark/>
          </w:tcPr>
          <w:p w14:paraId="7D05CA6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Non</w:t>
            </w:r>
            <w:r w:rsidRPr="00132F2C">
              <w:rPr>
                <w:rFonts w:asciiTheme="minorHAnsi" w:hAnsiTheme="minorHAnsi" w:cstheme="minorHAnsi"/>
                <w:color w:val="1F3864" w:themeColor="accent1" w:themeShade="80"/>
                <w:sz w:val="22"/>
                <w:szCs w:val="22"/>
              </w:rPr>
              <w:noBreakHyphen/>
              <w:t>binding nature, sovereignty concerns, uneven uptake.</w:t>
            </w:r>
          </w:p>
        </w:tc>
      </w:tr>
      <w:tr w:rsidR="00132F2C" w:rsidRPr="00132F2C" w14:paraId="1F953A88" w14:textId="77777777" w:rsidTr="00132F2C">
        <w:tc>
          <w:tcPr>
            <w:tcW w:w="0" w:type="auto"/>
            <w:hideMark/>
          </w:tcPr>
          <w:p w14:paraId="74390F9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Global–Regional–National Coordination</w:t>
            </w:r>
          </w:p>
        </w:tc>
        <w:tc>
          <w:tcPr>
            <w:tcW w:w="0" w:type="auto"/>
            <w:hideMark/>
          </w:tcPr>
          <w:p w14:paraId="4C16FE73" w14:textId="77777777" w:rsidR="00132F2C" w:rsidRPr="00132F2C" w:rsidRDefault="00132F2C" w:rsidP="00132F2C">
            <w:pPr>
              <w:rPr>
                <w:rFonts w:asciiTheme="minorHAnsi" w:hAnsiTheme="minorHAnsi" w:cstheme="minorHAnsi"/>
                <w:color w:val="1F3864" w:themeColor="accent1" w:themeShade="80"/>
                <w:sz w:val="22"/>
                <w:szCs w:val="22"/>
              </w:rPr>
            </w:pPr>
            <w:hyperlink r:id="rId176" w:history="1">
              <w:r w:rsidRPr="00132F2C">
                <w:rPr>
                  <w:rStyle w:val="Hyperlink"/>
                  <w:rFonts w:asciiTheme="minorHAnsi" w:hAnsiTheme="minorHAnsi" w:cstheme="minorHAnsi"/>
                  <w:color w:val="023160" w:themeColor="hyperlink" w:themeShade="80"/>
                  <w:sz w:val="22"/>
                  <w:szCs w:val="22"/>
                </w:rPr>
                <w:t>Rochette et al. (2015)</w:t>
              </w:r>
            </w:hyperlink>
            <w:r w:rsidRPr="00132F2C">
              <w:rPr>
                <w:rFonts w:asciiTheme="minorHAnsi" w:hAnsiTheme="minorHAnsi" w:cstheme="minorHAnsi"/>
                <w:color w:val="1F3864" w:themeColor="accent1" w:themeShade="80"/>
                <w:sz w:val="22"/>
                <w:szCs w:val="22"/>
              </w:rPr>
              <w:t xml:space="preserve">; </w:t>
            </w:r>
            <w:hyperlink r:id="rId177" w:history="1">
              <w:r w:rsidRPr="00132F2C">
                <w:rPr>
                  <w:rStyle w:val="Hyperlink"/>
                  <w:rFonts w:asciiTheme="minorHAnsi" w:hAnsiTheme="minorHAnsi" w:cstheme="minorHAnsi"/>
                  <w:color w:val="023160" w:themeColor="hyperlink" w:themeShade="80"/>
                  <w:sz w:val="22"/>
                  <w:szCs w:val="22"/>
                </w:rPr>
                <w:t>Schäfer (2017)</w:t>
              </w:r>
            </w:hyperlink>
            <w:r w:rsidRPr="00132F2C">
              <w:rPr>
                <w:rFonts w:asciiTheme="minorHAnsi" w:hAnsiTheme="minorHAnsi" w:cstheme="minorHAnsi"/>
                <w:color w:val="1F3864" w:themeColor="accent1" w:themeShade="80"/>
                <w:sz w:val="22"/>
                <w:szCs w:val="22"/>
              </w:rPr>
              <w:t xml:space="preserve">; </w:t>
            </w:r>
            <w:hyperlink r:id="rId178" w:history="1">
              <w:r w:rsidRPr="00132F2C">
                <w:rPr>
                  <w:rStyle w:val="Hyperlink"/>
                  <w:rFonts w:asciiTheme="minorHAnsi" w:hAnsiTheme="minorHAnsi" w:cstheme="minorHAnsi"/>
                  <w:color w:val="023160" w:themeColor="hyperlink" w:themeShade="80"/>
                  <w:sz w:val="22"/>
                  <w:szCs w:val="22"/>
                </w:rPr>
                <w:t>UNEP Regional Seas Reports</w:t>
              </w:r>
            </w:hyperlink>
          </w:p>
        </w:tc>
        <w:tc>
          <w:tcPr>
            <w:tcW w:w="0" w:type="auto"/>
            <w:hideMark/>
          </w:tcPr>
          <w:p w14:paraId="292C544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Rochette et al. (2015) stress that regional mechanisms bridge global principles and national realities. Schäfer (2017) explores multilevel governance theory in marine contexts. UNEP highlights ecosystem</w:t>
            </w:r>
            <w:r w:rsidRPr="00132F2C">
              <w:rPr>
                <w:rFonts w:asciiTheme="minorHAnsi" w:hAnsiTheme="minorHAnsi" w:cstheme="minorHAnsi"/>
                <w:color w:val="1F3864" w:themeColor="accent1" w:themeShade="80"/>
                <w:sz w:val="22"/>
                <w:szCs w:val="22"/>
              </w:rPr>
              <w:noBreakHyphen/>
              <w:t>based regional coordination.</w:t>
            </w:r>
          </w:p>
        </w:tc>
        <w:tc>
          <w:tcPr>
            <w:tcW w:w="0" w:type="auto"/>
            <w:hideMark/>
          </w:tcPr>
          <w:p w14:paraId="24A9DAB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Regional conventions, subsidiary bodies, coordination platforms</w:t>
            </w:r>
          </w:p>
        </w:tc>
        <w:tc>
          <w:tcPr>
            <w:tcW w:w="0" w:type="auto"/>
            <w:hideMark/>
          </w:tcPr>
          <w:p w14:paraId="233998A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Adapts global frameworks to regional and national contexts.</w:t>
            </w:r>
          </w:p>
        </w:tc>
        <w:tc>
          <w:tcPr>
            <w:tcW w:w="0" w:type="auto"/>
            <w:hideMark/>
          </w:tcPr>
          <w:p w14:paraId="73A1C1D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Misaligned priorities, uneven capacities, communication gaps.</w:t>
            </w:r>
          </w:p>
        </w:tc>
      </w:tr>
      <w:tr w:rsidR="00132F2C" w:rsidRPr="00132F2C" w14:paraId="0E18EA1F" w14:textId="77777777" w:rsidTr="00132F2C">
        <w:tc>
          <w:tcPr>
            <w:tcW w:w="0" w:type="auto"/>
            <w:hideMark/>
          </w:tcPr>
          <w:p w14:paraId="3AF3318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Intergovernmental to National Institutions</w:t>
            </w:r>
          </w:p>
        </w:tc>
        <w:tc>
          <w:tcPr>
            <w:tcW w:w="0" w:type="auto"/>
            <w:hideMark/>
          </w:tcPr>
          <w:p w14:paraId="1EBFAB69" w14:textId="77777777" w:rsidR="00132F2C" w:rsidRPr="00132F2C" w:rsidRDefault="00132F2C" w:rsidP="00132F2C">
            <w:pPr>
              <w:rPr>
                <w:rFonts w:asciiTheme="minorHAnsi" w:hAnsiTheme="minorHAnsi" w:cstheme="minorHAnsi"/>
                <w:color w:val="1F3864" w:themeColor="accent1" w:themeShade="80"/>
                <w:sz w:val="22"/>
                <w:szCs w:val="22"/>
              </w:rPr>
            </w:pPr>
            <w:hyperlink r:id="rId179" w:history="1">
              <w:proofErr w:type="spellStart"/>
              <w:r w:rsidRPr="00132F2C">
                <w:rPr>
                  <w:rStyle w:val="Hyperlink"/>
                  <w:rFonts w:asciiTheme="minorHAnsi" w:hAnsiTheme="minorHAnsi" w:cstheme="minorHAnsi"/>
                  <w:color w:val="023160" w:themeColor="hyperlink" w:themeShade="80"/>
                  <w:sz w:val="22"/>
                  <w:szCs w:val="22"/>
                </w:rPr>
                <w:t>Chasek</w:t>
              </w:r>
              <w:proofErr w:type="spellEnd"/>
              <w:r w:rsidRPr="00132F2C">
                <w:rPr>
                  <w:rStyle w:val="Hyperlink"/>
                  <w:rFonts w:asciiTheme="minorHAnsi" w:hAnsiTheme="minorHAnsi" w:cstheme="minorHAnsi"/>
                  <w:color w:val="023160" w:themeColor="hyperlink" w:themeShade="80"/>
                  <w:sz w:val="22"/>
                  <w:szCs w:val="22"/>
                </w:rPr>
                <w:t xml:space="preserve"> et al. (2018)</w:t>
              </w:r>
            </w:hyperlink>
            <w:r w:rsidRPr="00132F2C">
              <w:rPr>
                <w:rFonts w:asciiTheme="minorHAnsi" w:hAnsiTheme="minorHAnsi" w:cstheme="minorHAnsi"/>
                <w:color w:val="1F3864" w:themeColor="accent1" w:themeShade="80"/>
                <w:sz w:val="22"/>
                <w:szCs w:val="22"/>
              </w:rPr>
              <w:t xml:space="preserve">; </w:t>
            </w:r>
            <w:hyperlink r:id="rId180" w:history="1">
              <w:r w:rsidRPr="00132F2C">
                <w:rPr>
                  <w:rStyle w:val="Hyperlink"/>
                  <w:rFonts w:asciiTheme="minorHAnsi" w:hAnsiTheme="minorHAnsi" w:cstheme="minorHAnsi"/>
                  <w:color w:val="023160" w:themeColor="hyperlink" w:themeShade="80"/>
                  <w:sz w:val="22"/>
                  <w:szCs w:val="22"/>
                </w:rPr>
                <w:t xml:space="preserve">van </w:t>
              </w:r>
              <w:r w:rsidRPr="00132F2C">
                <w:rPr>
                  <w:rStyle w:val="Hyperlink"/>
                  <w:rFonts w:asciiTheme="minorHAnsi" w:hAnsiTheme="minorHAnsi" w:cstheme="minorHAnsi"/>
                  <w:color w:val="023160" w:themeColor="hyperlink" w:themeShade="80"/>
                  <w:sz w:val="22"/>
                  <w:szCs w:val="22"/>
                </w:rPr>
                <w:lastRenderedPageBreak/>
                <w:t>Leeuwen (2010)</w:t>
              </w:r>
            </w:hyperlink>
            <w:r w:rsidRPr="00132F2C">
              <w:rPr>
                <w:rFonts w:asciiTheme="minorHAnsi" w:hAnsiTheme="minorHAnsi" w:cstheme="minorHAnsi"/>
                <w:color w:val="1F3864" w:themeColor="accent1" w:themeShade="80"/>
                <w:sz w:val="22"/>
                <w:szCs w:val="22"/>
              </w:rPr>
              <w:t xml:space="preserve">; </w:t>
            </w:r>
            <w:hyperlink r:id="rId181" w:history="1">
              <w:r w:rsidRPr="00132F2C">
                <w:rPr>
                  <w:rStyle w:val="Hyperlink"/>
                  <w:rFonts w:asciiTheme="minorHAnsi" w:hAnsiTheme="minorHAnsi" w:cstheme="minorHAnsi"/>
                  <w:color w:val="023160" w:themeColor="hyperlink" w:themeShade="80"/>
                  <w:sz w:val="22"/>
                  <w:szCs w:val="22"/>
                </w:rPr>
                <w:t xml:space="preserve">IMO–National Maritime Authority </w:t>
              </w:r>
              <w:proofErr w:type="spellStart"/>
              <w:r w:rsidRPr="00132F2C">
                <w:rPr>
                  <w:rStyle w:val="Hyperlink"/>
                  <w:rFonts w:asciiTheme="minorHAnsi" w:hAnsiTheme="minorHAnsi" w:cstheme="minorHAnsi"/>
                  <w:color w:val="023160" w:themeColor="hyperlink" w:themeShade="80"/>
                  <w:sz w:val="22"/>
                  <w:szCs w:val="22"/>
                </w:rPr>
                <w:t>MoUs</w:t>
              </w:r>
              <w:proofErr w:type="spellEnd"/>
            </w:hyperlink>
          </w:p>
        </w:tc>
        <w:tc>
          <w:tcPr>
            <w:tcW w:w="0" w:type="auto"/>
            <w:hideMark/>
          </w:tcPr>
          <w:p w14:paraId="3A1FAAC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 xml:space="preserve">Van Leeuwen (2010) analyses </w:t>
            </w:r>
            <w:r w:rsidRPr="00132F2C">
              <w:rPr>
                <w:rFonts w:asciiTheme="minorHAnsi" w:hAnsiTheme="minorHAnsi" w:cstheme="minorHAnsi"/>
                <w:color w:val="1F3864" w:themeColor="accent1" w:themeShade="80"/>
                <w:sz w:val="22"/>
                <w:szCs w:val="22"/>
              </w:rPr>
              <w:lastRenderedPageBreak/>
              <w:t xml:space="preserve">governance arrangements linking global fora to domestic agencies. </w:t>
            </w:r>
            <w:proofErr w:type="spellStart"/>
            <w:r w:rsidRPr="00132F2C">
              <w:rPr>
                <w:rFonts w:asciiTheme="minorHAnsi" w:hAnsiTheme="minorHAnsi" w:cstheme="minorHAnsi"/>
                <w:color w:val="1F3864" w:themeColor="accent1" w:themeShade="80"/>
                <w:sz w:val="22"/>
                <w:szCs w:val="22"/>
              </w:rPr>
              <w:t>Chasek</w:t>
            </w:r>
            <w:proofErr w:type="spellEnd"/>
            <w:r w:rsidRPr="00132F2C">
              <w:rPr>
                <w:rFonts w:asciiTheme="minorHAnsi" w:hAnsiTheme="minorHAnsi" w:cstheme="minorHAnsi"/>
                <w:color w:val="1F3864" w:themeColor="accent1" w:themeShade="80"/>
                <w:sz w:val="22"/>
                <w:szCs w:val="22"/>
              </w:rPr>
              <w:t xml:space="preserve"> et al. (2018) describe norm transmission from IGOs to national ministries. IMO </w:t>
            </w:r>
            <w:proofErr w:type="spellStart"/>
            <w:r w:rsidRPr="00132F2C">
              <w:rPr>
                <w:rFonts w:asciiTheme="minorHAnsi" w:hAnsiTheme="minorHAnsi" w:cstheme="minorHAnsi"/>
                <w:color w:val="1F3864" w:themeColor="accent1" w:themeShade="80"/>
                <w:sz w:val="22"/>
                <w:szCs w:val="22"/>
              </w:rPr>
              <w:t>MoUs</w:t>
            </w:r>
            <w:proofErr w:type="spellEnd"/>
            <w:r w:rsidRPr="00132F2C">
              <w:rPr>
                <w:rFonts w:asciiTheme="minorHAnsi" w:hAnsiTheme="minorHAnsi" w:cstheme="minorHAnsi"/>
                <w:color w:val="1F3864" w:themeColor="accent1" w:themeShade="80"/>
                <w:sz w:val="22"/>
                <w:szCs w:val="22"/>
              </w:rPr>
              <w:t xml:space="preserve"> formalise technical collaboration.</w:t>
            </w:r>
          </w:p>
        </w:tc>
        <w:tc>
          <w:tcPr>
            <w:tcW w:w="0" w:type="auto"/>
            <w:hideMark/>
          </w:tcPr>
          <w:p w14:paraId="6BE80ACE"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 xml:space="preserve">Formal agreements, national focal </w:t>
            </w:r>
            <w:r w:rsidRPr="00132F2C">
              <w:rPr>
                <w:rFonts w:asciiTheme="minorHAnsi" w:hAnsiTheme="minorHAnsi" w:cstheme="minorHAnsi"/>
                <w:color w:val="1F3864" w:themeColor="accent1" w:themeShade="80"/>
                <w:sz w:val="22"/>
                <w:szCs w:val="22"/>
              </w:rPr>
              <w:lastRenderedPageBreak/>
              <w:t>points, joint plans</w:t>
            </w:r>
          </w:p>
        </w:tc>
        <w:tc>
          <w:tcPr>
            <w:tcW w:w="0" w:type="auto"/>
            <w:hideMark/>
          </w:tcPr>
          <w:p w14:paraId="3FF3719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Institutionalises policy transfer.</w:t>
            </w:r>
          </w:p>
        </w:tc>
        <w:tc>
          <w:tcPr>
            <w:tcW w:w="0" w:type="auto"/>
            <w:hideMark/>
          </w:tcPr>
          <w:p w14:paraId="795A0904"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 xml:space="preserve">Weak domestic capacity, </w:t>
            </w:r>
            <w:r w:rsidRPr="00132F2C">
              <w:rPr>
                <w:rFonts w:asciiTheme="minorHAnsi" w:hAnsiTheme="minorHAnsi" w:cstheme="minorHAnsi"/>
                <w:color w:val="1F3864" w:themeColor="accent1" w:themeShade="80"/>
                <w:sz w:val="22"/>
                <w:szCs w:val="22"/>
              </w:rPr>
              <w:lastRenderedPageBreak/>
              <w:t>turnover, political resistance.</w:t>
            </w:r>
          </w:p>
        </w:tc>
      </w:tr>
      <w:tr w:rsidR="00132F2C" w:rsidRPr="00132F2C" w14:paraId="470EA26C" w14:textId="77777777" w:rsidTr="00132F2C">
        <w:tc>
          <w:tcPr>
            <w:tcW w:w="0" w:type="auto"/>
            <w:hideMark/>
          </w:tcPr>
          <w:p w14:paraId="6CDA70E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lastRenderedPageBreak/>
              <w:t>Technical Assistance to States</w:t>
            </w:r>
          </w:p>
        </w:tc>
        <w:tc>
          <w:tcPr>
            <w:tcW w:w="0" w:type="auto"/>
            <w:hideMark/>
          </w:tcPr>
          <w:p w14:paraId="132AB00E" w14:textId="77777777" w:rsidR="00132F2C" w:rsidRPr="00132F2C" w:rsidRDefault="00132F2C" w:rsidP="00132F2C">
            <w:pPr>
              <w:rPr>
                <w:rFonts w:asciiTheme="minorHAnsi" w:hAnsiTheme="minorHAnsi" w:cstheme="minorHAnsi"/>
                <w:color w:val="1F3864" w:themeColor="accent1" w:themeShade="80"/>
                <w:sz w:val="22"/>
                <w:szCs w:val="22"/>
              </w:rPr>
            </w:pPr>
            <w:hyperlink r:id="rId182" w:history="1">
              <w:r w:rsidRPr="00132F2C">
                <w:rPr>
                  <w:rStyle w:val="Hyperlink"/>
                  <w:rFonts w:asciiTheme="minorHAnsi" w:hAnsiTheme="minorHAnsi" w:cstheme="minorHAnsi"/>
                  <w:color w:val="023160" w:themeColor="hyperlink" w:themeShade="80"/>
                  <w:sz w:val="22"/>
                  <w:szCs w:val="22"/>
                </w:rPr>
                <w:t>Peachey (2015)</w:t>
              </w:r>
            </w:hyperlink>
            <w:r w:rsidRPr="00132F2C">
              <w:rPr>
                <w:rFonts w:asciiTheme="minorHAnsi" w:hAnsiTheme="minorHAnsi" w:cstheme="minorHAnsi"/>
                <w:color w:val="1F3864" w:themeColor="accent1" w:themeShade="80"/>
                <w:sz w:val="22"/>
                <w:szCs w:val="22"/>
              </w:rPr>
              <w:t xml:space="preserve">; </w:t>
            </w:r>
            <w:hyperlink r:id="rId183" w:history="1">
              <w:r w:rsidRPr="00132F2C">
                <w:rPr>
                  <w:rStyle w:val="Hyperlink"/>
                  <w:rFonts w:asciiTheme="minorHAnsi" w:hAnsiTheme="minorHAnsi" w:cstheme="minorHAnsi"/>
                  <w:color w:val="023160" w:themeColor="hyperlink" w:themeShade="80"/>
                  <w:sz w:val="22"/>
                  <w:szCs w:val="22"/>
                </w:rPr>
                <w:t>UNDP Capacity Development Framework</w:t>
              </w:r>
            </w:hyperlink>
            <w:r w:rsidRPr="00132F2C">
              <w:rPr>
                <w:rFonts w:asciiTheme="minorHAnsi" w:hAnsiTheme="minorHAnsi" w:cstheme="minorHAnsi"/>
                <w:color w:val="1F3864" w:themeColor="accent1" w:themeShade="80"/>
                <w:sz w:val="22"/>
                <w:szCs w:val="22"/>
              </w:rPr>
              <w:t xml:space="preserve">; </w:t>
            </w:r>
            <w:hyperlink r:id="rId184" w:history="1">
              <w:r w:rsidRPr="00132F2C">
                <w:rPr>
                  <w:rStyle w:val="Hyperlink"/>
                  <w:rFonts w:asciiTheme="minorHAnsi" w:hAnsiTheme="minorHAnsi" w:cstheme="minorHAnsi"/>
                  <w:color w:val="023160" w:themeColor="hyperlink" w:themeShade="80"/>
                  <w:sz w:val="22"/>
                  <w:szCs w:val="22"/>
                </w:rPr>
                <w:t>FAO Technical Cooperation Programme</w:t>
              </w:r>
            </w:hyperlink>
          </w:p>
        </w:tc>
        <w:tc>
          <w:tcPr>
            <w:tcW w:w="0" w:type="auto"/>
            <w:hideMark/>
          </w:tcPr>
          <w:p w14:paraId="67B0C3E7"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Peachey (2015) links sustained capacity development to long</w:t>
            </w:r>
            <w:r w:rsidRPr="00132F2C">
              <w:rPr>
                <w:rFonts w:asciiTheme="minorHAnsi" w:hAnsiTheme="minorHAnsi" w:cstheme="minorHAnsi"/>
                <w:color w:val="1F3864" w:themeColor="accent1" w:themeShade="80"/>
                <w:sz w:val="22"/>
                <w:szCs w:val="22"/>
              </w:rPr>
              <w:noBreakHyphen/>
              <w:t>term ocean governance success. UNDP frames technical assistance as essential for SDG delivery. FAO emphasises tailored support to States.</w:t>
            </w:r>
          </w:p>
        </w:tc>
        <w:tc>
          <w:tcPr>
            <w:tcW w:w="0" w:type="auto"/>
            <w:hideMark/>
          </w:tcPr>
          <w:p w14:paraId="0358655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Training, expert missions, infrastructure support</w:t>
            </w:r>
          </w:p>
        </w:tc>
        <w:tc>
          <w:tcPr>
            <w:tcW w:w="0" w:type="auto"/>
            <w:hideMark/>
          </w:tcPr>
          <w:p w14:paraId="7133733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Builds skills and infrastructure.</w:t>
            </w:r>
          </w:p>
        </w:tc>
        <w:tc>
          <w:tcPr>
            <w:tcW w:w="0" w:type="auto"/>
            <w:hideMark/>
          </w:tcPr>
          <w:p w14:paraId="5DD81E4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Donor dependency, sustainability concerns, mismatch with local needs.</w:t>
            </w:r>
          </w:p>
        </w:tc>
      </w:tr>
      <w:tr w:rsidR="00132F2C" w:rsidRPr="00132F2C" w14:paraId="0573CF26" w14:textId="77777777" w:rsidTr="00132F2C">
        <w:tc>
          <w:tcPr>
            <w:tcW w:w="0" w:type="auto"/>
            <w:hideMark/>
          </w:tcPr>
          <w:p w14:paraId="1779E327"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Policy Alignment with National Plans</w:t>
            </w:r>
          </w:p>
        </w:tc>
        <w:tc>
          <w:tcPr>
            <w:tcW w:w="0" w:type="auto"/>
            <w:hideMark/>
          </w:tcPr>
          <w:p w14:paraId="3A0C0172" w14:textId="77777777" w:rsidR="00132F2C" w:rsidRPr="00132F2C" w:rsidRDefault="00132F2C" w:rsidP="00132F2C">
            <w:pPr>
              <w:rPr>
                <w:rFonts w:asciiTheme="minorHAnsi" w:hAnsiTheme="minorHAnsi" w:cstheme="minorHAnsi"/>
                <w:color w:val="1F3864" w:themeColor="accent1" w:themeShade="80"/>
                <w:sz w:val="22"/>
                <w:szCs w:val="22"/>
              </w:rPr>
            </w:pPr>
            <w:hyperlink r:id="rId185" w:history="1">
              <w:proofErr w:type="spellStart"/>
              <w:r w:rsidRPr="00132F2C">
                <w:rPr>
                  <w:rStyle w:val="Hyperlink"/>
                  <w:rFonts w:asciiTheme="minorHAnsi" w:hAnsiTheme="minorHAnsi" w:cstheme="minorHAnsi"/>
                  <w:color w:val="023160" w:themeColor="hyperlink" w:themeShade="80"/>
                  <w:sz w:val="22"/>
                  <w:szCs w:val="22"/>
                </w:rPr>
                <w:t>Cicin</w:t>
              </w:r>
              <w:proofErr w:type="spellEnd"/>
              <w:r w:rsidRPr="00132F2C">
                <w:rPr>
                  <w:rStyle w:val="Hyperlink"/>
                  <w:rFonts w:asciiTheme="minorHAnsi" w:hAnsiTheme="minorHAnsi" w:cstheme="minorHAnsi"/>
                  <w:color w:val="023160" w:themeColor="hyperlink" w:themeShade="80"/>
                  <w:sz w:val="22"/>
                  <w:szCs w:val="22"/>
                </w:rPr>
                <w:noBreakHyphen/>
                <w:t>Sain &amp; Knecht (1998)</w:t>
              </w:r>
            </w:hyperlink>
            <w:r w:rsidRPr="00132F2C">
              <w:rPr>
                <w:rFonts w:asciiTheme="minorHAnsi" w:hAnsiTheme="minorHAnsi" w:cstheme="minorHAnsi"/>
                <w:color w:val="1F3864" w:themeColor="accent1" w:themeShade="80"/>
                <w:sz w:val="22"/>
                <w:szCs w:val="22"/>
              </w:rPr>
              <w:t xml:space="preserve">; </w:t>
            </w:r>
            <w:hyperlink r:id="rId186" w:history="1">
              <w:r w:rsidRPr="00132F2C">
                <w:rPr>
                  <w:rStyle w:val="Hyperlink"/>
                  <w:rFonts w:asciiTheme="minorHAnsi" w:hAnsiTheme="minorHAnsi" w:cstheme="minorHAnsi"/>
                  <w:color w:val="023160" w:themeColor="hyperlink" w:themeShade="80"/>
                  <w:sz w:val="22"/>
                  <w:szCs w:val="22"/>
                </w:rPr>
                <w:t>UN (2012) SDGs</w:t>
              </w:r>
            </w:hyperlink>
            <w:r w:rsidRPr="00132F2C">
              <w:rPr>
                <w:rFonts w:asciiTheme="minorHAnsi" w:hAnsiTheme="minorHAnsi" w:cstheme="minorHAnsi"/>
                <w:color w:val="1F3864" w:themeColor="accent1" w:themeShade="80"/>
                <w:sz w:val="22"/>
                <w:szCs w:val="22"/>
              </w:rPr>
              <w:t xml:space="preserve">; </w:t>
            </w:r>
            <w:hyperlink r:id="rId187" w:history="1">
              <w:r w:rsidRPr="00132F2C">
                <w:rPr>
                  <w:rStyle w:val="Hyperlink"/>
                  <w:rFonts w:asciiTheme="minorHAnsi" w:hAnsiTheme="minorHAnsi" w:cstheme="minorHAnsi"/>
                  <w:color w:val="023160" w:themeColor="hyperlink" w:themeShade="80"/>
                  <w:sz w:val="22"/>
                  <w:szCs w:val="22"/>
                </w:rPr>
                <w:t>CBD National Biodiversity Strategies</w:t>
              </w:r>
            </w:hyperlink>
          </w:p>
        </w:tc>
        <w:tc>
          <w:tcPr>
            <w:tcW w:w="0" w:type="auto"/>
            <w:hideMark/>
          </w:tcPr>
          <w:p w14:paraId="79A047AE" w14:textId="77777777" w:rsidR="00132F2C" w:rsidRPr="00132F2C" w:rsidRDefault="00132F2C" w:rsidP="00132F2C">
            <w:pPr>
              <w:rPr>
                <w:rFonts w:asciiTheme="minorHAnsi" w:hAnsiTheme="minorHAnsi" w:cstheme="minorHAnsi"/>
                <w:color w:val="1F3864" w:themeColor="accent1" w:themeShade="80"/>
                <w:sz w:val="22"/>
                <w:szCs w:val="22"/>
              </w:rPr>
            </w:pPr>
            <w:proofErr w:type="spellStart"/>
            <w:r w:rsidRPr="00132F2C">
              <w:rPr>
                <w:rFonts w:asciiTheme="minorHAnsi" w:hAnsiTheme="minorHAnsi" w:cstheme="minorHAnsi"/>
                <w:color w:val="1F3864" w:themeColor="accent1" w:themeShade="80"/>
                <w:sz w:val="22"/>
                <w:szCs w:val="22"/>
              </w:rPr>
              <w:t>Cicin</w:t>
            </w:r>
            <w:proofErr w:type="spellEnd"/>
            <w:r w:rsidRPr="00132F2C">
              <w:rPr>
                <w:rFonts w:asciiTheme="minorHAnsi" w:hAnsiTheme="minorHAnsi" w:cstheme="minorHAnsi"/>
                <w:color w:val="1F3864" w:themeColor="accent1" w:themeShade="80"/>
                <w:sz w:val="22"/>
                <w:szCs w:val="22"/>
              </w:rPr>
              <w:noBreakHyphen/>
              <w:t>Sain &amp; Knecht (1998) argue for coherence between international marine commitments and domestic policy instruments. UN SDGs and CBD NBSAPs operationalise alignment requirements.</w:t>
            </w:r>
          </w:p>
        </w:tc>
        <w:tc>
          <w:tcPr>
            <w:tcW w:w="0" w:type="auto"/>
            <w:hideMark/>
          </w:tcPr>
          <w:p w14:paraId="14EAD32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National development plans, alignment reviews</w:t>
            </w:r>
          </w:p>
        </w:tc>
        <w:tc>
          <w:tcPr>
            <w:tcW w:w="0" w:type="auto"/>
            <w:hideMark/>
          </w:tcPr>
          <w:p w14:paraId="0FB42DA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Ensures policy coherence across scales.</w:t>
            </w:r>
          </w:p>
        </w:tc>
        <w:tc>
          <w:tcPr>
            <w:tcW w:w="0" w:type="auto"/>
            <w:hideMark/>
          </w:tcPr>
          <w:p w14:paraId="0E48446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Conflicting priorities, political cycles, limited integration capacity.</w:t>
            </w:r>
          </w:p>
        </w:tc>
      </w:tr>
      <w:tr w:rsidR="00132F2C" w:rsidRPr="00132F2C" w14:paraId="62CCC7F1" w14:textId="77777777" w:rsidTr="00132F2C">
        <w:tc>
          <w:tcPr>
            <w:tcW w:w="0" w:type="auto"/>
            <w:hideMark/>
          </w:tcPr>
          <w:p w14:paraId="46DEA817"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Regional Implementing Partners</w:t>
            </w:r>
          </w:p>
        </w:tc>
        <w:tc>
          <w:tcPr>
            <w:tcW w:w="0" w:type="auto"/>
            <w:hideMark/>
          </w:tcPr>
          <w:p w14:paraId="66E3588A" w14:textId="77777777" w:rsidR="00132F2C" w:rsidRPr="00132F2C" w:rsidRDefault="00132F2C" w:rsidP="00132F2C">
            <w:pPr>
              <w:rPr>
                <w:rFonts w:asciiTheme="minorHAnsi" w:hAnsiTheme="minorHAnsi" w:cstheme="minorHAnsi"/>
                <w:color w:val="1F3864" w:themeColor="accent1" w:themeShade="80"/>
                <w:sz w:val="22"/>
                <w:szCs w:val="22"/>
              </w:rPr>
            </w:pPr>
            <w:hyperlink r:id="rId188" w:history="1">
              <w:proofErr w:type="spellStart"/>
              <w:r w:rsidRPr="00132F2C">
                <w:rPr>
                  <w:rStyle w:val="Hyperlink"/>
                  <w:rFonts w:asciiTheme="minorHAnsi" w:hAnsiTheme="minorHAnsi" w:cstheme="minorHAnsi"/>
                  <w:color w:val="023160" w:themeColor="hyperlink" w:themeShade="80"/>
                  <w:sz w:val="22"/>
                  <w:szCs w:val="22"/>
                </w:rPr>
                <w:t>Balsiger</w:t>
              </w:r>
              <w:proofErr w:type="spellEnd"/>
              <w:r w:rsidRPr="00132F2C">
                <w:rPr>
                  <w:rStyle w:val="Hyperlink"/>
                  <w:rFonts w:asciiTheme="minorHAnsi" w:hAnsiTheme="minorHAnsi" w:cstheme="minorHAnsi"/>
                  <w:color w:val="023160" w:themeColor="hyperlink" w:themeShade="80"/>
                  <w:sz w:val="22"/>
                  <w:szCs w:val="22"/>
                </w:rPr>
                <w:t xml:space="preserve"> &amp; </w:t>
              </w:r>
              <w:proofErr w:type="spellStart"/>
              <w:r w:rsidRPr="00132F2C">
                <w:rPr>
                  <w:rStyle w:val="Hyperlink"/>
                  <w:rFonts w:asciiTheme="minorHAnsi" w:hAnsiTheme="minorHAnsi" w:cstheme="minorHAnsi"/>
                  <w:color w:val="023160" w:themeColor="hyperlink" w:themeShade="80"/>
                  <w:sz w:val="22"/>
                  <w:szCs w:val="22"/>
                </w:rPr>
                <w:t>Prys</w:t>
              </w:r>
              <w:proofErr w:type="spellEnd"/>
              <w:r w:rsidRPr="00132F2C">
                <w:rPr>
                  <w:rStyle w:val="Hyperlink"/>
                  <w:rFonts w:asciiTheme="minorHAnsi" w:hAnsiTheme="minorHAnsi" w:cstheme="minorHAnsi"/>
                  <w:color w:val="023160" w:themeColor="hyperlink" w:themeShade="80"/>
                  <w:sz w:val="22"/>
                  <w:szCs w:val="22"/>
                </w:rPr>
                <w:t> (2016)</w:t>
              </w:r>
            </w:hyperlink>
            <w:r w:rsidRPr="00132F2C">
              <w:rPr>
                <w:rFonts w:asciiTheme="minorHAnsi" w:hAnsiTheme="minorHAnsi" w:cstheme="minorHAnsi"/>
                <w:color w:val="1F3864" w:themeColor="accent1" w:themeShade="80"/>
                <w:sz w:val="22"/>
                <w:szCs w:val="22"/>
              </w:rPr>
              <w:t xml:space="preserve">; </w:t>
            </w:r>
            <w:hyperlink r:id="rId189" w:history="1">
              <w:r w:rsidRPr="00132F2C">
                <w:rPr>
                  <w:rStyle w:val="Hyperlink"/>
                  <w:rFonts w:asciiTheme="minorHAnsi" w:hAnsiTheme="minorHAnsi" w:cstheme="minorHAnsi"/>
                  <w:color w:val="023160" w:themeColor="hyperlink" w:themeShade="80"/>
                  <w:sz w:val="22"/>
                  <w:szCs w:val="22"/>
                </w:rPr>
                <w:t>PEMSEA Partnerships</w:t>
              </w:r>
            </w:hyperlink>
            <w:r w:rsidRPr="00132F2C">
              <w:rPr>
                <w:rFonts w:asciiTheme="minorHAnsi" w:hAnsiTheme="minorHAnsi" w:cstheme="minorHAnsi"/>
                <w:color w:val="1F3864" w:themeColor="accent1" w:themeShade="80"/>
                <w:sz w:val="22"/>
                <w:szCs w:val="22"/>
              </w:rPr>
              <w:t xml:space="preserve">; </w:t>
            </w:r>
            <w:hyperlink r:id="rId190" w:history="1">
              <w:r w:rsidRPr="00132F2C">
                <w:rPr>
                  <w:rStyle w:val="Hyperlink"/>
                  <w:rFonts w:asciiTheme="minorHAnsi" w:hAnsiTheme="minorHAnsi" w:cstheme="minorHAnsi"/>
                  <w:color w:val="023160" w:themeColor="hyperlink" w:themeShade="80"/>
                  <w:sz w:val="22"/>
                  <w:szCs w:val="22"/>
                </w:rPr>
                <w:t>SPREP Programmes</w:t>
              </w:r>
            </w:hyperlink>
          </w:p>
        </w:tc>
        <w:tc>
          <w:tcPr>
            <w:tcW w:w="0" w:type="auto"/>
            <w:hideMark/>
          </w:tcPr>
          <w:p w14:paraId="3AC88C56" w14:textId="77777777" w:rsidR="00132F2C" w:rsidRPr="00132F2C" w:rsidRDefault="00132F2C" w:rsidP="00132F2C">
            <w:pPr>
              <w:rPr>
                <w:rFonts w:asciiTheme="minorHAnsi" w:hAnsiTheme="minorHAnsi" w:cstheme="minorHAnsi"/>
                <w:color w:val="1F3864" w:themeColor="accent1" w:themeShade="80"/>
                <w:sz w:val="22"/>
                <w:szCs w:val="22"/>
              </w:rPr>
            </w:pPr>
            <w:proofErr w:type="spellStart"/>
            <w:r w:rsidRPr="00132F2C">
              <w:rPr>
                <w:rFonts w:asciiTheme="minorHAnsi" w:hAnsiTheme="minorHAnsi" w:cstheme="minorHAnsi"/>
                <w:color w:val="1F3864" w:themeColor="accent1" w:themeShade="80"/>
                <w:sz w:val="22"/>
                <w:szCs w:val="22"/>
              </w:rPr>
              <w:t>Balsiger</w:t>
            </w:r>
            <w:proofErr w:type="spellEnd"/>
            <w:r w:rsidRPr="00132F2C">
              <w:rPr>
                <w:rFonts w:asciiTheme="minorHAnsi" w:hAnsiTheme="minorHAnsi" w:cstheme="minorHAnsi"/>
                <w:color w:val="1F3864" w:themeColor="accent1" w:themeShade="80"/>
                <w:sz w:val="22"/>
                <w:szCs w:val="22"/>
              </w:rPr>
              <w:t xml:space="preserve"> &amp; </w:t>
            </w:r>
            <w:proofErr w:type="spellStart"/>
            <w:r w:rsidRPr="00132F2C">
              <w:rPr>
                <w:rFonts w:asciiTheme="minorHAnsi" w:hAnsiTheme="minorHAnsi" w:cstheme="minorHAnsi"/>
                <w:color w:val="1F3864" w:themeColor="accent1" w:themeShade="80"/>
                <w:sz w:val="22"/>
                <w:szCs w:val="22"/>
              </w:rPr>
              <w:t>Prys</w:t>
            </w:r>
            <w:proofErr w:type="spellEnd"/>
            <w:r w:rsidRPr="00132F2C">
              <w:rPr>
                <w:rFonts w:asciiTheme="minorHAnsi" w:hAnsiTheme="minorHAnsi" w:cstheme="minorHAnsi"/>
                <w:color w:val="1F3864" w:themeColor="accent1" w:themeShade="80"/>
                <w:sz w:val="22"/>
                <w:szCs w:val="22"/>
              </w:rPr>
              <w:t xml:space="preserve"> (2016) analyse how regional bodies operationalise global </w:t>
            </w:r>
            <w:r w:rsidRPr="00132F2C">
              <w:rPr>
                <w:rFonts w:asciiTheme="minorHAnsi" w:hAnsiTheme="minorHAnsi" w:cstheme="minorHAnsi"/>
                <w:color w:val="1F3864" w:themeColor="accent1" w:themeShade="80"/>
                <w:sz w:val="22"/>
                <w:szCs w:val="22"/>
              </w:rPr>
              <w:lastRenderedPageBreak/>
              <w:t>agreements. PEMSEA and SPREP implement tailored programmes aligned with global goals.</w:t>
            </w:r>
          </w:p>
        </w:tc>
        <w:tc>
          <w:tcPr>
            <w:tcW w:w="0" w:type="auto"/>
            <w:hideMark/>
          </w:tcPr>
          <w:p w14:paraId="3ABC8FC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Delegated implementation agreements</w:t>
            </w:r>
          </w:p>
        </w:tc>
        <w:tc>
          <w:tcPr>
            <w:tcW w:w="0" w:type="auto"/>
            <w:hideMark/>
          </w:tcPr>
          <w:p w14:paraId="6EE51C5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Enables contextualised execution.</w:t>
            </w:r>
          </w:p>
        </w:tc>
        <w:tc>
          <w:tcPr>
            <w:tcW w:w="0" w:type="auto"/>
            <w:hideMark/>
          </w:tcPr>
          <w:p w14:paraId="667CF4E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Resource constraints, uneven partner capacity.</w:t>
            </w:r>
          </w:p>
        </w:tc>
      </w:tr>
      <w:tr w:rsidR="00132F2C" w:rsidRPr="00132F2C" w14:paraId="2EF5939D" w14:textId="77777777" w:rsidTr="00132F2C">
        <w:tc>
          <w:tcPr>
            <w:tcW w:w="0" w:type="auto"/>
            <w:hideMark/>
          </w:tcPr>
          <w:p w14:paraId="651F49F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Reporting &amp; Compliance Mechanisms</w:t>
            </w:r>
          </w:p>
        </w:tc>
        <w:tc>
          <w:tcPr>
            <w:tcW w:w="0" w:type="auto"/>
            <w:hideMark/>
          </w:tcPr>
          <w:p w14:paraId="7C651AEF" w14:textId="77777777" w:rsidR="00132F2C" w:rsidRPr="00132F2C" w:rsidRDefault="00132F2C" w:rsidP="00132F2C">
            <w:pPr>
              <w:rPr>
                <w:rFonts w:asciiTheme="minorHAnsi" w:hAnsiTheme="minorHAnsi" w:cstheme="minorHAnsi"/>
                <w:color w:val="1F3864" w:themeColor="accent1" w:themeShade="80"/>
                <w:sz w:val="22"/>
                <w:szCs w:val="22"/>
              </w:rPr>
            </w:pPr>
            <w:hyperlink r:id="rId191" w:history="1">
              <w:r w:rsidRPr="00132F2C">
                <w:rPr>
                  <w:rStyle w:val="Hyperlink"/>
                  <w:rFonts w:asciiTheme="minorHAnsi" w:hAnsiTheme="minorHAnsi" w:cstheme="minorHAnsi"/>
                  <w:color w:val="023160" w:themeColor="hyperlink" w:themeShade="80"/>
                  <w:sz w:val="22"/>
                  <w:szCs w:val="22"/>
                </w:rPr>
                <w:t>Mitchell (1998)</w:t>
              </w:r>
            </w:hyperlink>
            <w:r w:rsidRPr="00132F2C">
              <w:rPr>
                <w:rFonts w:asciiTheme="minorHAnsi" w:hAnsiTheme="minorHAnsi" w:cstheme="minorHAnsi"/>
                <w:color w:val="1F3864" w:themeColor="accent1" w:themeShade="80"/>
                <w:sz w:val="22"/>
                <w:szCs w:val="22"/>
              </w:rPr>
              <w:t xml:space="preserve">; </w:t>
            </w:r>
            <w:hyperlink r:id="rId192" w:history="1">
              <w:proofErr w:type="spellStart"/>
              <w:r w:rsidRPr="00132F2C">
                <w:rPr>
                  <w:rStyle w:val="Hyperlink"/>
                  <w:rFonts w:asciiTheme="minorHAnsi" w:hAnsiTheme="minorHAnsi" w:cstheme="minorHAnsi"/>
                  <w:color w:val="023160" w:themeColor="hyperlink" w:themeShade="80"/>
                  <w:sz w:val="22"/>
                  <w:szCs w:val="22"/>
                </w:rPr>
                <w:t>Raustiala</w:t>
              </w:r>
              <w:proofErr w:type="spellEnd"/>
              <w:r w:rsidRPr="00132F2C">
                <w:rPr>
                  <w:rStyle w:val="Hyperlink"/>
                  <w:rFonts w:asciiTheme="minorHAnsi" w:hAnsiTheme="minorHAnsi" w:cstheme="minorHAnsi"/>
                  <w:color w:val="023160" w:themeColor="hyperlink" w:themeShade="80"/>
                  <w:sz w:val="22"/>
                  <w:szCs w:val="22"/>
                </w:rPr>
                <w:t xml:space="preserve"> &amp; Slaughter (2002)</w:t>
              </w:r>
            </w:hyperlink>
            <w:r w:rsidRPr="00132F2C">
              <w:rPr>
                <w:rFonts w:asciiTheme="minorHAnsi" w:hAnsiTheme="minorHAnsi" w:cstheme="minorHAnsi"/>
                <w:color w:val="1F3864" w:themeColor="accent1" w:themeShade="80"/>
                <w:sz w:val="22"/>
                <w:szCs w:val="22"/>
              </w:rPr>
              <w:t xml:space="preserve">; </w:t>
            </w:r>
            <w:hyperlink r:id="rId193" w:history="1">
              <w:r w:rsidRPr="00132F2C">
                <w:rPr>
                  <w:rStyle w:val="Hyperlink"/>
                  <w:rFonts w:asciiTheme="minorHAnsi" w:hAnsiTheme="minorHAnsi" w:cstheme="minorHAnsi"/>
                  <w:color w:val="023160" w:themeColor="hyperlink" w:themeShade="80"/>
                  <w:sz w:val="22"/>
                  <w:szCs w:val="22"/>
                </w:rPr>
                <w:t>IMO Member State Audit Scheme</w:t>
              </w:r>
            </w:hyperlink>
          </w:p>
        </w:tc>
        <w:tc>
          <w:tcPr>
            <w:tcW w:w="0" w:type="auto"/>
            <w:hideMark/>
          </w:tcPr>
          <w:p w14:paraId="4DC7485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 xml:space="preserve">Mitchell (1998) and </w:t>
            </w:r>
            <w:proofErr w:type="spellStart"/>
            <w:r w:rsidRPr="00132F2C">
              <w:rPr>
                <w:rFonts w:asciiTheme="minorHAnsi" w:hAnsiTheme="minorHAnsi" w:cstheme="minorHAnsi"/>
                <w:color w:val="1F3864" w:themeColor="accent1" w:themeShade="80"/>
                <w:sz w:val="22"/>
                <w:szCs w:val="22"/>
              </w:rPr>
              <w:t>Raustiala</w:t>
            </w:r>
            <w:proofErr w:type="spellEnd"/>
            <w:r w:rsidRPr="00132F2C">
              <w:rPr>
                <w:rFonts w:asciiTheme="minorHAnsi" w:hAnsiTheme="minorHAnsi" w:cstheme="minorHAnsi"/>
                <w:color w:val="1F3864" w:themeColor="accent1" w:themeShade="80"/>
                <w:sz w:val="22"/>
                <w:szCs w:val="22"/>
              </w:rPr>
              <w:t xml:space="preserve"> &amp; Slaughter (2002) stress the value of reporting and review in improving compliance. IMO audits operationalise maritime safety compliance checks.</w:t>
            </w:r>
          </w:p>
        </w:tc>
        <w:tc>
          <w:tcPr>
            <w:tcW w:w="0" w:type="auto"/>
            <w:hideMark/>
          </w:tcPr>
          <w:p w14:paraId="712F4C0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Mandatory reporting, audits</w:t>
            </w:r>
          </w:p>
        </w:tc>
        <w:tc>
          <w:tcPr>
            <w:tcW w:w="0" w:type="auto"/>
            <w:hideMark/>
          </w:tcPr>
          <w:p w14:paraId="3E84B69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Tracks progress and incentivises compliance.</w:t>
            </w:r>
          </w:p>
        </w:tc>
        <w:tc>
          <w:tcPr>
            <w:tcW w:w="0" w:type="auto"/>
            <w:hideMark/>
          </w:tcPr>
          <w:p w14:paraId="045E4123"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Reporting fatigue, data quality issues.</w:t>
            </w:r>
          </w:p>
        </w:tc>
      </w:tr>
      <w:tr w:rsidR="00132F2C" w:rsidRPr="00132F2C" w14:paraId="3961E5E4" w14:textId="77777777" w:rsidTr="00132F2C">
        <w:tc>
          <w:tcPr>
            <w:tcW w:w="0" w:type="auto"/>
            <w:hideMark/>
          </w:tcPr>
          <w:p w14:paraId="1E2CB4D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Multi</w:t>
            </w:r>
            <w:r w:rsidRPr="00132F2C">
              <w:rPr>
                <w:rFonts w:asciiTheme="minorHAnsi" w:hAnsiTheme="minorHAnsi" w:cstheme="minorHAnsi"/>
                <w:b/>
                <w:bCs/>
                <w:color w:val="1F3864" w:themeColor="accent1" w:themeShade="80"/>
                <w:sz w:val="22"/>
                <w:szCs w:val="22"/>
              </w:rPr>
              <w:noBreakHyphen/>
              <w:t>level Planning Structures</w:t>
            </w:r>
          </w:p>
        </w:tc>
        <w:tc>
          <w:tcPr>
            <w:tcW w:w="0" w:type="auto"/>
            <w:hideMark/>
          </w:tcPr>
          <w:p w14:paraId="34228EE6" w14:textId="77777777" w:rsidR="00132F2C" w:rsidRPr="00132F2C" w:rsidRDefault="00132F2C" w:rsidP="00132F2C">
            <w:pPr>
              <w:rPr>
                <w:rFonts w:asciiTheme="minorHAnsi" w:hAnsiTheme="minorHAnsi" w:cstheme="minorHAnsi"/>
                <w:color w:val="1F3864" w:themeColor="accent1" w:themeShade="80"/>
                <w:sz w:val="22"/>
                <w:szCs w:val="22"/>
              </w:rPr>
            </w:pPr>
            <w:hyperlink r:id="rId194" w:history="1">
              <w:r w:rsidRPr="00132F2C">
                <w:rPr>
                  <w:rStyle w:val="Hyperlink"/>
                  <w:rFonts w:asciiTheme="minorHAnsi" w:hAnsiTheme="minorHAnsi" w:cstheme="minorHAnsi"/>
                  <w:color w:val="023160" w:themeColor="hyperlink" w:themeShade="80"/>
                  <w:sz w:val="22"/>
                  <w:szCs w:val="22"/>
                </w:rPr>
                <w:t>Ostrom (2010)</w:t>
              </w:r>
            </w:hyperlink>
            <w:r w:rsidRPr="00132F2C">
              <w:rPr>
                <w:rFonts w:asciiTheme="minorHAnsi" w:hAnsiTheme="minorHAnsi" w:cstheme="minorHAnsi"/>
                <w:color w:val="1F3864" w:themeColor="accent1" w:themeShade="80"/>
                <w:sz w:val="22"/>
                <w:szCs w:val="22"/>
              </w:rPr>
              <w:t xml:space="preserve">; </w:t>
            </w:r>
            <w:hyperlink r:id="rId195" w:history="1">
              <w:r w:rsidRPr="00132F2C">
                <w:rPr>
                  <w:rStyle w:val="Hyperlink"/>
                  <w:rFonts w:asciiTheme="minorHAnsi" w:hAnsiTheme="minorHAnsi" w:cstheme="minorHAnsi"/>
                  <w:color w:val="023160" w:themeColor="hyperlink" w:themeShade="80"/>
                  <w:sz w:val="22"/>
                  <w:szCs w:val="22"/>
                </w:rPr>
                <w:t>OECD (2019)</w:t>
              </w:r>
            </w:hyperlink>
            <w:r w:rsidRPr="00132F2C">
              <w:rPr>
                <w:rFonts w:asciiTheme="minorHAnsi" w:hAnsiTheme="minorHAnsi" w:cstheme="minorHAnsi"/>
                <w:color w:val="1F3864" w:themeColor="accent1" w:themeShade="80"/>
                <w:sz w:val="22"/>
                <w:szCs w:val="22"/>
              </w:rPr>
              <w:t xml:space="preserve">; </w:t>
            </w:r>
            <w:hyperlink r:id="rId196" w:history="1">
              <w:r w:rsidRPr="00132F2C">
                <w:rPr>
                  <w:rStyle w:val="Hyperlink"/>
                  <w:rFonts w:asciiTheme="minorHAnsi" w:hAnsiTheme="minorHAnsi" w:cstheme="minorHAnsi"/>
                  <w:color w:val="023160" w:themeColor="hyperlink" w:themeShade="80"/>
                  <w:sz w:val="22"/>
                  <w:szCs w:val="22"/>
                </w:rPr>
                <w:t>Pacific Islands Regional Ocean Policy</w:t>
              </w:r>
            </w:hyperlink>
          </w:p>
        </w:tc>
        <w:tc>
          <w:tcPr>
            <w:tcW w:w="0" w:type="auto"/>
            <w:hideMark/>
          </w:tcPr>
          <w:p w14:paraId="2CD0CB8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Ostrom (2010) advocates polycentric governance for resilience, applied here to ocean planning. OECD and Pacific Islands frameworks demonstrate nested planning systems.</w:t>
            </w:r>
          </w:p>
        </w:tc>
        <w:tc>
          <w:tcPr>
            <w:tcW w:w="0" w:type="auto"/>
            <w:hideMark/>
          </w:tcPr>
          <w:p w14:paraId="611C8F7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Cross</w:t>
            </w:r>
            <w:r w:rsidRPr="00132F2C">
              <w:rPr>
                <w:rFonts w:asciiTheme="minorHAnsi" w:hAnsiTheme="minorHAnsi" w:cstheme="minorHAnsi"/>
                <w:color w:val="1F3864" w:themeColor="accent1" w:themeShade="80"/>
                <w:sz w:val="22"/>
                <w:szCs w:val="22"/>
              </w:rPr>
              <w:noBreakHyphen/>
              <w:t>jurisdictional planning bodies</w:t>
            </w:r>
          </w:p>
        </w:tc>
        <w:tc>
          <w:tcPr>
            <w:tcW w:w="0" w:type="auto"/>
            <w:hideMark/>
          </w:tcPr>
          <w:p w14:paraId="1FB8ECD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Avoids duplication and fosters coordination.</w:t>
            </w:r>
          </w:p>
        </w:tc>
        <w:tc>
          <w:tcPr>
            <w:tcW w:w="0" w:type="auto"/>
            <w:hideMark/>
          </w:tcPr>
          <w:p w14:paraId="14631D2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Jurisdictional competition, coordination costs.</w:t>
            </w:r>
          </w:p>
        </w:tc>
      </w:tr>
      <w:tr w:rsidR="00132F2C" w:rsidRPr="00132F2C" w14:paraId="2346214C" w14:textId="77777777" w:rsidTr="00132F2C">
        <w:tc>
          <w:tcPr>
            <w:tcW w:w="0" w:type="auto"/>
            <w:hideMark/>
          </w:tcPr>
          <w:p w14:paraId="7BBD204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Data Integration Systems</w:t>
            </w:r>
          </w:p>
        </w:tc>
        <w:tc>
          <w:tcPr>
            <w:tcW w:w="0" w:type="auto"/>
            <w:hideMark/>
          </w:tcPr>
          <w:p w14:paraId="218D77A7" w14:textId="77777777" w:rsidR="00132F2C" w:rsidRPr="00132F2C" w:rsidRDefault="00132F2C" w:rsidP="00132F2C">
            <w:pPr>
              <w:rPr>
                <w:rFonts w:asciiTheme="minorHAnsi" w:hAnsiTheme="minorHAnsi" w:cstheme="minorHAnsi"/>
                <w:color w:val="1F3864" w:themeColor="accent1" w:themeShade="80"/>
                <w:sz w:val="22"/>
                <w:szCs w:val="22"/>
              </w:rPr>
            </w:pPr>
            <w:hyperlink r:id="rId197" w:history="1">
              <w:r w:rsidRPr="00132F2C">
                <w:rPr>
                  <w:rStyle w:val="Hyperlink"/>
                  <w:rFonts w:asciiTheme="minorHAnsi" w:hAnsiTheme="minorHAnsi" w:cstheme="minorHAnsi"/>
                  <w:color w:val="023160" w:themeColor="hyperlink" w:themeShade="80"/>
                  <w:sz w:val="22"/>
                  <w:szCs w:val="22"/>
                </w:rPr>
                <w:t>Miller et al. (2014)</w:t>
              </w:r>
            </w:hyperlink>
            <w:r w:rsidRPr="00132F2C">
              <w:rPr>
                <w:rFonts w:asciiTheme="minorHAnsi" w:hAnsiTheme="minorHAnsi" w:cstheme="minorHAnsi"/>
                <w:color w:val="1F3864" w:themeColor="accent1" w:themeShade="80"/>
                <w:sz w:val="22"/>
                <w:szCs w:val="22"/>
              </w:rPr>
              <w:t xml:space="preserve">; </w:t>
            </w:r>
            <w:hyperlink r:id="rId198" w:history="1">
              <w:r w:rsidRPr="00132F2C">
                <w:rPr>
                  <w:rStyle w:val="Hyperlink"/>
                  <w:rFonts w:asciiTheme="minorHAnsi" w:hAnsiTheme="minorHAnsi" w:cstheme="minorHAnsi"/>
                  <w:color w:val="023160" w:themeColor="hyperlink" w:themeShade="80"/>
                  <w:sz w:val="22"/>
                  <w:szCs w:val="22"/>
                </w:rPr>
                <w:t>IOC</w:t>
              </w:r>
              <w:r w:rsidRPr="00132F2C">
                <w:rPr>
                  <w:rStyle w:val="Hyperlink"/>
                  <w:rFonts w:asciiTheme="minorHAnsi" w:hAnsiTheme="minorHAnsi" w:cstheme="minorHAnsi"/>
                  <w:color w:val="023160" w:themeColor="hyperlink" w:themeShade="80"/>
                  <w:sz w:val="22"/>
                  <w:szCs w:val="22"/>
                </w:rPr>
                <w:noBreakHyphen/>
                <w:t>UNESCO (2017)</w:t>
              </w:r>
            </w:hyperlink>
            <w:r w:rsidRPr="00132F2C">
              <w:rPr>
                <w:rFonts w:asciiTheme="minorHAnsi" w:hAnsiTheme="minorHAnsi" w:cstheme="minorHAnsi"/>
                <w:color w:val="1F3864" w:themeColor="accent1" w:themeShade="80"/>
                <w:sz w:val="22"/>
                <w:szCs w:val="22"/>
              </w:rPr>
              <w:t xml:space="preserve">; </w:t>
            </w:r>
            <w:hyperlink r:id="rId199" w:history="1">
              <w:r w:rsidRPr="00132F2C">
                <w:rPr>
                  <w:rStyle w:val="Hyperlink"/>
                  <w:rFonts w:asciiTheme="minorHAnsi" w:hAnsiTheme="minorHAnsi" w:cstheme="minorHAnsi"/>
                  <w:color w:val="023160" w:themeColor="hyperlink" w:themeShade="80"/>
                  <w:sz w:val="22"/>
                  <w:szCs w:val="22"/>
                </w:rPr>
                <w:t>GOOS Reports</w:t>
              </w:r>
            </w:hyperlink>
          </w:p>
        </w:tc>
        <w:tc>
          <w:tcPr>
            <w:tcW w:w="0" w:type="auto"/>
            <w:hideMark/>
          </w:tcPr>
          <w:p w14:paraId="4B340C5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Miller et al. (2014) discuss interoperability challenges in marine data systems. IOC</w:t>
            </w:r>
            <w:r w:rsidRPr="00132F2C">
              <w:rPr>
                <w:rFonts w:asciiTheme="minorHAnsi" w:hAnsiTheme="minorHAnsi" w:cstheme="minorHAnsi"/>
                <w:color w:val="1F3864" w:themeColor="accent1" w:themeShade="80"/>
                <w:sz w:val="22"/>
                <w:szCs w:val="22"/>
              </w:rPr>
              <w:noBreakHyphen/>
              <w:t>UNESCO and GOOS provide frameworks for integrated ocean observation.</w:t>
            </w:r>
          </w:p>
        </w:tc>
        <w:tc>
          <w:tcPr>
            <w:tcW w:w="0" w:type="auto"/>
            <w:hideMark/>
          </w:tcPr>
          <w:p w14:paraId="26CB760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Data portals, shared monitoring</w:t>
            </w:r>
          </w:p>
        </w:tc>
        <w:tc>
          <w:tcPr>
            <w:tcW w:w="0" w:type="auto"/>
            <w:hideMark/>
          </w:tcPr>
          <w:p w14:paraId="667B9207"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Informs multi</w:t>
            </w:r>
            <w:r w:rsidRPr="00132F2C">
              <w:rPr>
                <w:rFonts w:asciiTheme="minorHAnsi" w:hAnsiTheme="minorHAnsi" w:cstheme="minorHAnsi"/>
                <w:color w:val="1F3864" w:themeColor="accent1" w:themeShade="80"/>
                <w:sz w:val="22"/>
                <w:szCs w:val="22"/>
              </w:rPr>
              <w:noBreakHyphen/>
              <w:t>level decision</w:t>
            </w:r>
            <w:r w:rsidRPr="00132F2C">
              <w:rPr>
                <w:rFonts w:asciiTheme="minorHAnsi" w:hAnsiTheme="minorHAnsi" w:cstheme="minorHAnsi"/>
                <w:color w:val="1F3864" w:themeColor="accent1" w:themeShade="80"/>
                <w:sz w:val="22"/>
                <w:szCs w:val="22"/>
              </w:rPr>
              <w:noBreakHyphen/>
              <w:t>making.</w:t>
            </w:r>
          </w:p>
        </w:tc>
        <w:tc>
          <w:tcPr>
            <w:tcW w:w="0" w:type="auto"/>
            <w:hideMark/>
          </w:tcPr>
          <w:p w14:paraId="2D9E0C2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Technical incompatibility, uneven access.</w:t>
            </w:r>
          </w:p>
        </w:tc>
      </w:tr>
      <w:tr w:rsidR="00132F2C" w:rsidRPr="00132F2C" w14:paraId="0E2B12F2" w14:textId="77777777" w:rsidTr="00132F2C">
        <w:tc>
          <w:tcPr>
            <w:tcW w:w="0" w:type="auto"/>
            <w:hideMark/>
          </w:tcPr>
          <w:p w14:paraId="5478194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Sectoral</w:t>
            </w:r>
            <w:r w:rsidRPr="00132F2C">
              <w:rPr>
                <w:rFonts w:asciiTheme="minorHAnsi" w:hAnsiTheme="minorHAnsi" w:cstheme="minorHAnsi"/>
                <w:b/>
                <w:bCs/>
                <w:color w:val="1F3864" w:themeColor="accent1" w:themeShade="80"/>
                <w:sz w:val="22"/>
                <w:szCs w:val="22"/>
              </w:rPr>
              <w:noBreakHyphen/>
              <w:t>to</w:t>
            </w:r>
            <w:r w:rsidRPr="00132F2C">
              <w:rPr>
                <w:rFonts w:asciiTheme="minorHAnsi" w:hAnsiTheme="minorHAnsi" w:cstheme="minorHAnsi"/>
                <w:b/>
                <w:bCs/>
                <w:color w:val="1F3864" w:themeColor="accent1" w:themeShade="80"/>
                <w:sz w:val="22"/>
                <w:szCs w:val="22"/>
              </w:rPr>
              <w:noBreakHyphen/>
              <w:t>National Coordination</w:t>
            </w:r>
          </w:p>
        </w:tc>
        <w:tc>
          <w:tcPr>
            <w:tcW w:w="0" w:type="auto"/>
            <w:hideMark/>
          </w:tcPr>
          <w:p w14:paraId="1E6DB8BE" w14:textId="77777777" w:rsidR="00132F2C" w:rsidRPr="00132F2C" w:rsidRDefault="00132F2C" w:rsidP="00132F2C">
            <w:pPr>
              <w:rPr>
                <w:rFonts w:asciiTheme="minorHAnsi" w:hAnsiTheme="minorHAnsi" w:cstheme="minorHAnsi"/>
                <w:color w:val="1F3864" w:themeColor="accent1" w:themeShade="80"/>
                <w:sz w:val="22"/>
                <w:szCs w:val="22"/>
              </w:rPr>
            </w:pPr>
            <w:hyperlink r:id="rId200" w:history="1">
              <w:r w:rsidRPr="00132F2C">
                <w:rPr>
                  <w:rStyle w:val="Hyperlink"/>
                  <w:rFonts w:asciiTheme="minorHAnsi" w:hAnsiTheme="minorHAnsi" w:cstheme="minorHAnsi"/>
                  <w:color w:val="023160" w:themeColor="hyperlink" w:themeShade="80"/>
                  <w:sz w:val="22"/>
                  <w:szCs w:val="22"/>
                </w:rPr>
                <w:t>Young (2002)</w:t>
              </w:r>
            </w:hyperlink>
            <w:r w:rsidRPr="00132F2C">
              <w:rPr>
                <w:rFonts w:asciiTheme="minorHAnsi" w:hAnsiTheme="minorHAnsi" w:cstheme="minorHAnsi"/>
                <w:color w:val="1F3864" w:themeColor="accent1" w:themeShade="80"/>
                <w:sz w:val="22"/>
                <w:szCs w:val="22"/>
              </w:rPr>
              <w:t xml:space="preserve">; </w:t>
            </w:r>
            <w:hyperlink r:id="rId201" w:history="1">
              <w:r w:rsidRPr="00132F2C">
                <w:rPr>
                  <w:rStyle w:val="Hyperlink"/>
                  <w:rFonts w:asciiTheme="minorHAnsi" w:hAnsiTheme="minorHAnsi" w:cstheme="minorHAnsi"/>
                  <w:color w:val="023160" w:themeColor="hyperlink" w:themeShade="80"/>
                  <w:sz w:val="22"/>
                  <w:szCs w:val="22"/>
                </w:rPr>
                <w:t xml:space="preserve">FAO–National Aquaculture </w:t>
              </w:r>
              <w:r w:rsidRPr="00132F2C">
                <w:rPr>
                  <w:rStyle w:val="Hyperlink"/>
                  <w:rFonts w:asciiTheme="minorHAnsi" w:hAnsiTheme="minorHAnsi" w:cstheme="minorHAnsi"/>
                  <w:color w:val="023160" w:themeColor="hyperlink" w:themeShade="80"/>
                  <w:sz w:val="22"/>
                  <w:szCs w:val="22"/>
                </w:rPr>
                <w:lastRenderedPageBreak/>
                <w:t>Strategies</w:t>
              </w:r>
            </w:hyperlink>
            <w:r w:rsidRPr="00132F2C">
              <w:rPr>
                <w:rFonts w:asciiTheme="minorHAnsi" w:hAnsiTheme="minorHAnsi" w:cstheme="minorHAnsi"/>
                <w:color w:val="1F3864" w:themeColor="accent1" w:themeShade="80"/>
                <w:sz w:val="22"/>
                <w:szCs w:val="22"/>
              </w:rPr>
              <w:t xml:space="preserve">; </w:t>
            </w:r>
            <w:hyperlink r:id="rId202" w:history="1">
              <w:r w:rsidRPr="00132F2C">
                <w:rPr>
                  <w:rStyle w:val="Hyperlink"/>
                  <w:rFonts w:asciiTheme="minorHAnsi" w:hAnsiTheme="minorHAnsi" w:cstheme="minorHAnsi"/>
                  <w:color w:val="023160" w:themeColor="hyperlink" w:themeShade="80"/>
                  <w:sz w:val="22"/>
                  <w:szCs w:val="22"/>
                </w:rPr>
                <w:t>ICAO/IMO Joint Statements</w:t>
              </w:r>
            </w:hyperlink>
          </w:p>
        </w:tc>
        <w:tc>
          <w:tcPr>
            <w:tcW w:w="0" w:type="auto"/>
            <w:hideMark/>
          </w:tcPr>
          <w:p w14:paraId="72551A9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 xml:space="preserve">Young (2002) analyses vertical linkages in sectoral </w:t>
            </w:r>
            <w:r w:rsidRPr="00132F2C">
              <w:rPr>
                <w:rFonts w:asciiTheme="minorHAnsi" w:hAnsiTheme="minorHAnsi" w:cstheme="minorHAnsi"/>
                <w:color w:val="1F3864" w:themeColor="accent1" w:themeShade="80"/>
                <w:sz w:val="22"/>
                <w:szCs w:val="22"/>
              </w:rPr>
              <w:lastRenderedPageBreak/>
              <w:t>regimes. FAO aquaculture strategies and ICAO/IMO joint work show sectoral integration into national plans.</w:t>
            </w:r>
          </w:p>
        </w:tc>
        <w:tc>
          <w:tcPr>
            <w:tcW w:w="0" w:type="auto"/>
            <w:hideMark/>
          </w:tcPr>
          <w:p w14:paraId="45EA6E0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Cross</w:t>
            </w:r>
            <w:r w:rsidRPr="00132F2C">
              <w:rPr>
                <w:rFonts w:asciiTheme="minorHAnsi" w:hAnsiTheme="minorHAnsi" w:cstheme="minorHAnsi"/>
                <w:color w:val="1F3864" w:themeColor="accent1" w:themeShade="80"/>
                <w:sz w:val="22"/>
                <w:szCs w:val="22"/>
              </w:rPr>
              <w:noBreakHyphen/>
              <w:t>ministry working groups</w:t>
            </w:r>
          </w:p>
        </w:tc>
        <w:tc>
          <w:tcPr>
            <w:tcW w:w="0" w:type="auto"/>
            <w:hideMark/>
          </w:tcPr>
          <w:p w14:paraId="4D8B9B3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Integrates sectoral and national priorities.</w:t>
            </w:r>
          </w:p>
        </w:tc>
        <w:tc>
          <w:tcPr>
            <w:tcW w:w="0" w:type="auto"/>
            <w:hideMark/>
          </w:tcPr>
          <w:p w14:paraId="7FCD9DC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Siloed interests, competing mandates.</w:t>
            </w:r>
          </w:p>
        </w:tc>
      </w:tr>
    </w:tbl>
    <w:p w14:paraId="2582892F" w14:textId="591A4F42" w:rsidR="00132F2C" w:rsidRPr="00132F2C" w:rsidRDefault="00132F2C" w:rsidP="00132F2C">
      <w:pPr>
        <w:rPr>
          <w:rFonts w:asciiTheme="minorHAnsi" w:hAnsiTheme="minorHAnsi" w:cstheme="minorHAnsi"/>
          <w:color w:val="1F3864" w:themeColor="accent1" w:themeShade="80"/>
          <w:sz w:val="22"/>
          <w:szCs w:val="22"/>
        </w:rPr>
      </w:pPr>
    </w:p>
    <w:p w14:paraId="64F4200C" w14:textId="77777777" w:rsidR="00132F2C" w:rsidRDefault="00132F2C" w:rsidP="005C63E7">
      <w:pPr>
        <w:rPr>
          <w:rFonts w:asciiTheme="minorHAnsi" w:hAnsiTheme="minorHAnsi" w:cstheme="minorHAnsi"/>
          <w:color w:val="1F3864" w:themeColor="accent1" w:themeShade="80"/>
          <w:sz w:val="22"/>
          <w:szCs w:val="22"/>
        </w:rPr>
      </w:pPr>
    </w:p>
    <w:p w14:paraId="45EDD915" w14:textId="77777777" w:rsidR="005C63E7" w:rsidRPr="006E2E54" w:rsidRDefault="005C63E7" w:rsidP="005C63E7">
      <w:pPr>
        <w:rPr>
          <w:rFonts w:asciiTheme="minorHAnsi" w:hAnsiTheme="minorHAnsi" w:cstheme="minorHAnsi"/>
          <w:color w:val="1F3864" w:themeColor="accent1" w:themeShade="80"/>
          <w:sz w:val="22"/>
          <w:szCs w:val="22"/>
        </w:rPr>
      </w:pPr>
    </w:p>
    <w:p w14:paraId="50ADE7CC" w14:textId="77777777" w:rsidR="005C63E7" w:rsidRPr="00132F2C" w:rsidRDefault="005C63E7" w:rsidP="005C63E7">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Horizontal Coordination Attributes</w:t>
      </w:r>
    </w:p>
    <w:p w14:paraId="462777A0" w14:textId="5D3D41E8" w:rsidR="00132F2C" w:rsidRPr="00132F2C" w:rsidRDefault="00132F2C" w:rsidP="00132F2C">
      <w:pPr>
        <w:rPr>
          <w:rFonts w:asciiTheme="minorHAnsi" w:hAnsiTheme="minorHAnsi" w:cstheme="minorHAnsi"/>
          <w:color w:val="1F3864" w:themeColor="accent1" w:themeShade="80"/>
          <w:sz w:val="22"/>
          <w:szCs w:val="22"/>
        </w:rPr>
      </w:pPr>
    </w:p>
    <w:p w14:paraId="34F789FD" w14:textId="27EABCF0" w:rsidR="00132F2C" w:rsidRDefault="00132F2C" w:rsidP="00132F2C">
      <w:pPr>
        <w:jc w:val="both"/>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 xml:space="preserve">Horizontal coordination refers to the mechanisms through which IGOs align policies, actions, and knowledge across sectors, themes, and jurisdictions operating at the same governance level, thereby reducing fragmentation and fostering coherence. </w:t>
      </w:r>
      <w:proofErr w:type="spellStart"/>
      <w:r w:rsidRPr="00132F2C">
        <w:rPr>
          <w:rFonts w:asciiTheme="minorHAnsi" w:hAnsiTheme="minorHAnsi" w:cstheme="minorHAnsi"/>
          <w:color w:val="1F3864" w:themeColor="accent1" w:themeShade="80"/>
          <w:sz w:val="22"/>
          <w:szCs w:val="22"/>
        </w:rPr>
        <w:t>Cicin</w:t>
      </w:r>
      <w:proofErr w:type="spellEnd"/>
      <w:r w:rsidRPr="00132F2C">
        <w:rPr>
          <w:rFonts w:asciiTheme="minorHAnsi" w:hAnsiTheme="minorHAnsi" w:cstheme="minorHAnsi"/>
          <w:color w:val="1F3864" w:themeColor="accent1" w:themeShade="80"/>
          <w:sz w:val="22"/>
          <w:szCs w:val="22"/>
        </w:rPr>
        <w:noBreakHyphen/>
        <w:t>Sain and Knecht (1998) underline that effective ocean governance depends on overcoming sectoral silos through integrative approaches, while Biermann et al. (2009) identify issue</w:t>
      </w:r>
      <w:r w:rsidRPr="00132F2C">
        <w:rPr>
          <w:rFonts w:asciiTheme="minorHAnsi" w:hAnsiTheme="minorHAnsi" w:cstheme="minorHAnsi"/>
          <w:color w:val="1F3864" w:themeColor="accent1" w:themeShade="80"/>
          <w:sz w:val="22"/>
          <w:szCs w:val="22"/>
        </w:rPr>
        <w:noBreakHyphen/>
        <w:t xml:space="preserve">specific working groups as flexible, adaptive instruments for coordinated action. Scholars such as </w:t>
      </w:r>
      <w:proofErr w:type="spellStart"/>
      <w:r w:rsidRPr="00132F2C">
        <w:rPr>
          <w:rFonts w:asciiTheme="minorHAnsi" w:hAnsiTheme="minorHAnsi" w:cstheme="minorHAnsi"/>
          <w:color w:val="1F3864" w:themeColor="accent1" w:themeShade="80"/>
          <w:sz w:val="22"/>
          <w:szCs w:val="22"/>
        </w:rPr>
        <w:t>Prideaux</w:t>
      </w:r>
      <w:proofErr w:type="spellEnd"/>
      <w:r w:rsidRPr="00132F2C">
        <w:rPr>
          <w:rFonts w:asciiTheme="minorHAnsi" w:hAnsiTheme="minorHAnsi" w:cstheme="minorHAnsi"/>
          <w:color w:val="1F3864" w:themeColor="accent1" w:themeShade="80"/>
          <w:sz w:val="22"/>
          <w:szCs w:val="22"/>
        </w:rPr>
        <w:t> et al. (2020) and Miller et al. (2014) highlight the role of collaborative research, harmonised monitoring frameworks, and shared indicator systems in creating common evidence bases for decision</w:t>
      </w:r>
      <w:r w:rsidRPr="00132F2C">
        <w:rPr>
          <w:rFonts w:asciiTheme="minorHAnsi" w:hAnsiTheme="minorHAnsi" w:cstheme="minorHAnsi"/>
          <w:color w:val="1F3864" w:themeColor="accent1" w:themeShade="80"/>
          <w:sz w:val="22"/>
          <w:szCs w:val="22"/>
        </w:rPr>
        <w:noBreakHyphen/>
        <w:t>making. Multi</w:t>
      </w:r>
      <w:r w:rsidRPr="00132F2C">
        <w:rPr>
          <w:rFonts w:asciiTheme="minorHAnsi" w:hAnsiTheme="minorHAnsi" w:cstheme="minorHAnsi"/>
          <w:color w:val="1F3864" w:themeColor="accent1" w:themeShade="80"/>
          <w:sz w:val="22"/>
          <w:szCs w:val="22"/>
        </w:rPr>
        <w:noBreakHyphen/>
        <w:t>stakeholder engagement, emphasised by Berkes (2012) and operationalised in UN Ocean Conference partnership platforms, builds legitimacy and facilitates co</w:t>
      </w:r>
      <w:r w:rsidRPr="00132F2C">
        <w:rPr>
          <w:rFonts w:asciiTheme="minorHAnsi" w:hAnsiTheme="minorHAnsi" w:cstheme="minorHAnsi"/>
          <w:color w:val="1F3864" w:themeColor="accent1" w:themeShade="80"/>
          <w:sz w:val="22"/>
          <w:szCs w:val="22"/>
        </w:rPr>
        <w:noBreakHyphen/>
        <w:t xml:space="preserve">production of solutions. </w:t>
      </w:r>
      <w:proofErr w:type="spellStart"/>
      <w:r w:rsidRPr="00132F2C">
        <w:rPr>
          <w:rFonts w:asciiTheme="minorHAnsi" w:hAnsiTheme="minorHAnsi" w:cstheme="minorHAnsi"/>
          <w:color w:val="1F3864" w:themeColor="accent1" w:themeShade="80"/>
          <w:sz w:val="22"/>
          <w:szCs w:val="22"/>
        </w:rPr>
        <w:t>Chasek</w:t>
      </w:r>
      <w:proofErr w:type="spellEnd"/>
      <w:r w:rsidRPr="00132F2C">
        <w:rPr>
          <w:rFonts w:asciiTheme="minorHAnsi" w:hAnsiTheme="minorHAnsi" w:cstheme="minorHAnsi"/>
          <w:color w:val="1F3864" w:themeColor="accent1" w:themeShade="80"/>
          <w:sz w:val="22"/>
          <w:szCs w:val="22"/>
        </w:rPr>
        <w:t> et al. (2018) further point to inter</w:t>
      </w:r>
      <w:r w:rsidRPr="00132F2C">
        <w:rPr>
          <w:rFonts w:asciiTheme="minorHAnsi" w:hAnsiTheme="minorHAnsi" w:cstheme="minorHAnsi"/>
          <w:color w:val="1F3864" w:themeColor="accent1" w:themeShade="80"/>
          <w:sz w:val="22"/>
          <w:szCs w:val="22"/>
        </w:rPr>
        <w:noBreakHyphen/>
        <w:t xml:space="preserve">agency technical cooperation as a means of leveraging complementary mandates, while regional economic integration, as discussed by </w:t>
      </w:r>
      <w:proofErr w:type="spellStart"/>
      <w:r w:rsidRPr="00132F2C">
        <w:rPr>
          <w:rFonts w:asciiTheme="minorHAnsi" w:hAnsiTheme="minorHAnsi" w:cstheme="minorHAnsi"/>
          <w:color w:val="1F3864" w:themeColor="accent1" w:themeShade="80"/>
          <w:sz w:val="22"/>
          <w:szCs w:val="22"/>
        </w:rPr>
        <w:t>Balsiger</w:t>
      </w:r>
      <w:proofErr w:type="spellEnd"/>
      <w:r w:rsidRPr="00132F2C">
        <w:rPr>
          <w:rFonts w:asciiTheme="minorHAnsi" w:hAnsiTheme="minorHAnsi" w:cstheme="minorHAnsi"/>
          <w:color w:val="1F3864" w:themeColor="accent1" w:themeShade="80"/>
          <w:sz w:val="22"/>
          <w:szCs w:val="22"/>
        </w:rPr>
        <w:t> and </w:t>
      </w:r>
      <w:proofErr w:type="spellStart"/>
      <w:r w:rsidRPr="00132F2C">
        <w:rPr>
          <w:rFonts w:asciiTheme="minorHAnsi" w:hAnsiTheme="minorHAnsi" w:cstheme="minorHAnsi"/>
          <w:color w:val="1F3864" w:themeColor="accent1" w:themeShade="80"/>
          <w:sz w:val="22"/>
          <w:szCs w:val="22"/>
        </w:rPr>
        <w:t>Prys</w:t>
      </w:r>
      <w:proofErr w:type="spellEnd"/>
      <w:r w:rsidRPr="00132F2C">
        <w:rPr>
          <w:rFonts w:asciiTheme="minorHAnsi" w:hAnsiTheme="minorHAnsi" w:cstheme="minorHAnsi"/>
          <w:color w:val="1F3864" w:themeColor="accent1" w:themeShade="80"/>
          <w:sz w:val="22"/>
          <w:szCs w:val="22"/>
        </w:rPr>
        <w:t> (2016), embeds ocean economy considerations within broader trade and development agendas. Finally, as Keck and </w:t>
      </w:r>
      <w:proofErr w:type="spellStart"/>
      <w:r w:rsidRPr="00132F2C">
        <w:rPr>
          <w:rFonts w:asciiTheme="minorHAnsi" w:hAnsiTheme="minorHAnsi" w:cstheme="minorHAnsi"/>
          <w:color w:val="1F3864" w:themeColor="accent1" w:themeShade="80"/>
          <w:sz w:val="22"/>
          <w:szCs w:val="22"/>
        </w:rPr>
        <w:t>Sikkink</w:t>
      </w:r>
      <w:proofErr w:type="spellEnd"/>
      <w:r w:rsidRPr="00132F2C">
        <w:rPr>
          <w:rFonts w:asciiTheme="minorHAnsi" w:hAnsiTheme="minorHAnsi" w:cstheme="minorHAnsi"/>
          <w:color w:val="1F3864" w:themeColor="accent1" w:themeShade="80"/>
          <w:sz w:val="22"/>
          <w:szCs w:val="22"/>
        </w:rPr>
        <w:t> (1998) note, advocacy networks operate horizontally to shift norms and influence policy, complemented by cross</w:t>
      </w:r>
      <w:r w:rsidRPr="00132F2C">
        <w:rPr>
          <w:rFonts w:asciiTheme="minorHAnsi" w:hAnsiTheme="minorHAnsi" w:cstheme="minorHAnsi"/>
          <w:color w:val="1F3864" w:themeColor="accent1" w:themeShade="80"/>
          <w:sz w:val="22"/>
          <w:szCs w:val="22"/>
        </w:rPr>
        <w:noBreakHyphen/>
        <w:t>border initiatives (Young, 2002) and peer</w:t>
      </w:r>
      <w:r w:rsidRPr="00132F2C">
        <w:rPr>
          <w:rFonts w:asciiTheme="minorHAnsi" w:hAnsiTheme="minorHAnsi" w:cstheme="minorHAnsi"/>
          <w:color w:val="1F3864" w:themeColor="accent1" w:themeShade="80"/>
          <w:sz w:val="22"/>
          <w:szCs w:val="22"/>
        </w:rPr>
        <w:noBreakHyphen/>
        <w:t>to</w:t>
      </w:r>
      <w:r w:rsidRPr="00132F2C">
        <w:rPr>
          <w:rFonts w:asciiTheme="minorHAnsi" w:hAnsiTheme="minorHAnsi" w:cstheme="minorHAnsi"/>
          <w:color w:val="1F3864" w:themeColor="accent1" w:themeShade="80"/>
          <w:sz w:val="22"/>
          <w:szCs w:val="22"/>
        </w:rPr>
        <w:noBreakHyphen/>
        <w:t>peer learning mechanisms (Ostrom, 2010) that diffuse innovation across institutional landscapes. The following table synthesises these insights into ten recurrent categories of horizontal coordination in global ocean economy governance.</w:t>
      </w:r>
    </w:p>
    <w:p w14:paraId="18FD792A" w14:textId="1972C9A0" w:rsidR="00132F2C" w:rsidRPr="00132F2C" w:rsidRDefault="00132F2C" w:rsidP="00132F2C">
      <w:pPr>
        <w:rPr>
          <w:rFonts w:asciiTheme="minorHAnsi" w:hAnsiTheme="minorHAnsi" w:cstheme="minorHAnsi"/>
          <w:color w:val="1F3864" w:themeColor="accent1" w:themeShade="80"/>
          <w:sz w:val="22"/>
          <w:szCs w:val="22"/>
        </w:rPr>
      </w:pPr>
    </w:p>
    <w:p w14:paraId="4F1E1095" w14:textId="30632221"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 xml:space="preserve">Comprehensive Table: Horizontal Coordination for IGOs in Global Ocean Economy Governance </w:t>
      </w:r>
    </w:p>
    <w:tbl>
      <w:tblPr>
        <w:tblStyle w:val="TableGrid"/>
        <w:tblW w:w="0" w:type="auto"/>
        <w:tblLook w:val="04A0" w:firstRow="1" w:lastRow="0" w:firstColumn="1" w:lastColumn="0" w:noHBand="0" w:noVBand="1"/>
      </w:tblPr>
      <w:tblGrid>
        <w:gridCol w:w="1468"/>
        <w:gridCol w:w="1510"/>
        <w:gridCol w:w="1729"/>
        <w:gridCol w:w="1632"/>
        <w:gridCol w:w="1292"/>
        <w:gridCol w:w="1385"/>
      </w:tblGrid>
      <w:tr w:rsidR="00132F2C" w:rsidRPr="00132F2C" w14:paraId="63C1F950" w14:textId="77777777" w:rsidTr="00132F2C">
        <w:tc>
          <w:tcPr>
            <w:tcW w:w="0" w:type="auto"/>
            <w:hideMark/>
          </w:tcPr>
          <w:p w14:paraId="4F6EF32D"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Horizontal Coordination Category</w:t>
            </w:r>
          </w:p>
        </w:tc>
        <w:tc>
          <w:tcPr>
            <w:tcW w:w="0" w:type="auto"/>
            <w:hideMark/>
          </w:tcPr>
          <w:p w14:paraId="6E73F763"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71E67C56"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Key Framing in Literature &amp; Official Documents</w:t>
            </w:r>
          </w:p>
        </w:tc>
        <w:tc>
          <w:tcPr>
            <w:tcW w:w="0" w:type="auto"/>
            <w:hideMark/>
          </w:tcPr>
          <w:p w14:paraId="323CD452"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Instruments / Sources</w:t>
            </w:r>
          </w:p>
        </w:tc>
        <w:tc>
          <w:tcPr>
            <w:tcW w:w="0" w:type="auto"/>
            <w:hideMark/>
          </w:tcPr>
          <w:p w14:paraId="62AA28FA"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Rationale for Categorization</w:t>
            </w:r>
          </w:p>
        </w:tc>
        <w:tc>
          <w:tcPr>
            <w:tcW w:w="0" w:type="auto"/>
            <w:hideMark/>
          </w:tcPr>
          <w:p w14:paraId="34F2DAD5"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Potential Impediments</w:t>
            </w:r>
          </w:p>
        </w:tc>
      </w:tr>
      <w:tr w:rsidR="00132F2C" w:rsidRPr="00132F2C" w14:paraId="2DDAA6D9" w14:textId="77777777" w:rsidTr="00132F2C">
        <w:tc>
          <w:tcPr>
            <w:tcW w:w="0" w:type="auto"/>
            <w:hideMark/>
          </w:tcPr>
          <w:p w14:paraId="23866D6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Cross</w:t>
            </w:r>
            <w:r w:rsidRPr="00132F2C">
              <w:rPr>
                <w:rFonts w:asciiTheme="minorHAnsi" w:hAnsiTheme="minorHAnsi" w:cstheme="minorHAnsi"/>
                <w:b/>
                <w:bCs/>
                <w:color w:val="1F3864" w:themeColor="accent1" w:themeShade="80"/>
                <w:sz w:val="22"/>
                <w:szCs w:val="22"/>
              </w:rPr>
              <w:noBreakHyphen/>
              <w:t>sectoral Collaboration</w:t>
            </w:r>
          </w:p>
        </w:tc>
        <w:tc>
          <w:tcPr>
            <w:tcW w:w="0" w:type="auto"/>
            <w:hideMark/>
          </w:tcPr>
          <w:p w14:paraId="771F94C7" w14:textId="77777777" w:rsidR="00132F2C" w:rsidRPr="00132F2C" w:rsidRDefault="00132F2C" w:rsidP="00132F2C">
            <w:pPr>
              <w:rPr>
                <w:rFonts w:asciiTheme="minorHAnsi" w:hAnsiTheme="minorHAnsi" w:cstheme="minorHAnsi"/>
                <w:color w:val="1F3864" w:themeColor="accent1" w:themeShade="80"/>
                <w:sz w:val="22"/>
                <w:szCs w:val="22"/>
              </w:rPr>
            </w:pPr>
            <w:hyperlink r:id="rId203" w:history="1">
              <w:proofErr w:type="spellStart"/>
              <w:r w:rsidRPr="00132F2C">
                <w:rPr>
                  <w:rStyle w:val="Hyperlink"/>
                  <w:rFonts w:asciiTheme="minorHAnsi" w:hAnsiTheme="minorHAnsi" w:cstheme="minorHAnsi"/>
                  <w:color w:val="023160" w:themeColor="hyperlink" w:themeShade="80"/>
                  <w:sz w:val="22"/>
                  <w:szCs w:val="22"/>
                </w:rPr>
                <w:t>Cicin</w:t>
              </w:r>
              <w:proofErr w:type="spellEnd"/>
              <w:r w:rsidRPr="00132F2C">
                <w:rPr>
                  <w:rStyle w:val="Hyperlink"/>
                  <w:rFonts w:asciiTheme="minorHAnsi" w:hAnsiTheme="minorHAnsi" w:cstheme="minorHAnsi"/>
                  <w:color w:val="023160" w:themeColor="hyperlink" w:themeShade="80"/>
                  <w:sz w:val="22"/>
                  <w:szCs w:val="22"/>
                </w:rPr>
                <w:noBreakHyphen/>
                <w:t>Sain &amp; Knecht (1998)</w:t>
              </w:r>
            </w:hyperlink>
            <w:r w:rsidRPr="00132F2C">
              <w:rPr>
                <w:rFonts w:asciiTheme="minorHAnsi" w:hAnsiTheme="minorHAnsi" w:cstheme="minorHAnsi"/>
                <w:color w:val="1F3864" w:themeColor="accent1" w:themeShade="80"/>
                <w:sz w:val="22"/>
                <w:szCs w:val="22"/>
              </w:rPr>
              <w:t xml:space="preserve">; </w:t>
            </w:r>
            <w:hyperlink r:id="rId204" w:history="1">
              <w:r w:rsidRPr="00132F2C">
                <w:rPr>
                  <w:rStyle w:val="Hyperlink"/>
                  <w:rFonts w:asciiTheme="minorHAnsi" w:hAnsiTheme="minorHAnsi" w:cstheme="minorHAnsi"/>
                  <w:color w:val="023160" w:themeColor="hyperlink" w:themeShade="80"/>
                  <w:sz w:val="22"/>
                  <w:szCs w:val="22"/>
                </w:rPr>
                <w:t>OECD (2019)</w:t>
              </w:r>
            </w:hyperlink>
            <w:r w:rsidRPr="00132F2C">
              <w:rPr>
                <w:rFonts w:asciiTheme="minorHAnsi" w:hAnsiTheme="minorHAnsi" w:cstheme="minorHAnsi"/>
                <w:color w:val="1F3864" w:themeColor="accent1" w:themeShade="80"/>
                <w:sz w:val="22"/>
                <w:szCs w:val="22"/>
              </w:rPr>
              <w:t xml:space="preserve">; </w:t>
            </w:r>
            <w:hyperlink r:id="rId205" w:history="1">
              <w:r w:rsidRPr="00132F2C">
                <w:rPr>
                  <w:rStyle w:val="Hyperlink"/>
                  <w:rFonts w:asciiTheme="minorHAnsi" w:hAnsiTheme="minorHAnsi" w:cstheme="minorHAnsi"/>
                  <w:color w:val="023160" w:themeColor="hyperlink" w:themeShade="80"/>
                  <w:sz w:val="22"/>
                  <w:szCs w:val="22"/>
                </w:rPr>
                <w:t>FAO Blue Growth Initiative</w:t>
              </w:r>
            </w:hyperlink>
          </w:p>
        </w:tc>
        <w:tc>
          <w:tcPr>
            <w:tcW w:w="0" w:type="auto"/>
            <w:hideMark/>
          </w:tcPr>
          <w:p w14:paraId="119B9560" w14:textId="77777777" w:rsidR="00132F2C" w:rsidRPr="00132F2C" w:rsidRDefault="00132F2C" w:rsidP="00132F2C">
            <w:pPr>
              <w:rPr>
                <w:rFonts w:asciiTheme="minorHAnsi" w:hAnsiTheme="minorHAnsi" w:cstheme="minorHAnsi"/>
                <w:color w:val="1F3864" w:themeColor="accent1" w:themeShade="80"/>
                <w:sz w:val="22"/>
                <w:szCs w:val="22"/>
              </w:rPr>
            </w:pPr>
            <w:proofErr w:type="spellStart"/>
            <w:r w:rsidRPr="00132F2C">
              <w:rPr>
                <w:rFonts w:asciiTheme="minorHAnsi" w:hAnsiTheme="minorHAnsi" w:cstheme="minorHAnsi"/>
                <w:color w:val="1F3864" w:themeColor="accent1" w:themeShade="80"/>
                <w:sz w:val="22"/>
                <w:szCs w:val="22"/>
              </w:rPr>
              <w:t>Cicin</w:t>
            </w:r>
            <w:proofErr w:type="spellEnd"/>
            <w:r w:rsidRPr="00132F2C">
              <w:rPr>
                <w:rFonts w:asciiTheme="minorHAnsi" w:hAnsiTheme="minorHAnsi" w:cstheme="minorHAnsi"/>
                <w:color w:val="1F3864" w:themeColor="accent1" w:themeShade="80"/>
                <w:sz w:val="22"/>
                <w:szCs w:val="22"/>
              </w:rPr>
              <w:noBreakHyphen/>
              <w:t>Sain &amp; Knecht (1998) argue that integrated ocean governance requires bridging sectoral divides. OECD (2019) frames cross</w:t>
            </w:r>
            <w:r w:rsidRPr="00132F2C">
              <w:rPr>
                <w:rFonts w:asciiTheme="minorHAnsi" w:hAnsiTheme="minorHAnsi" w:cstheme="minorHAnsi"/>
                <w:color w:val="1F3864" w:themeColor="accent1" w:themeShade="80"/>
                <w:sz w:val="22"/>
                <w:szCs w:val="22"/>
              </w:rPr>
              <w:noBreakHyphen/>
              <w:t xml:space="preserve">sectoral policy innovation as essential for </w:t>
            </w:r>
            <w:r w:rsidRPr="00132F2C">
              <w:rPr>
                <w:rFonts w:asciiTheme="minorHAnsi" w:hAnsiTheme="minorHAnsi" w:cstheme="minorHAnsi"/>
                <w:color w:val="1F3864" w:themeColor="accent1" w:themeShade="80"/>
                <w:sz w:val="22"/>
                <w:szCs w:val="22"/>
              </w:rPr>
              <w:lastRenderedPageBreak/>
              <w:t>sustainable blue growth. FAO’s Blue Growth promotes coordination between fisheries, transport, tourism, and environment.</w:t>
            </w:r>
          </w:p>
        </w:tc>
        <w:tc>
          <w:tcPr>
            <w:tcW w:w="0" w:type="auto"/>
            <w:hideMark/>
          </w:tcPr>
          <w:p w14:paraId="18BE39C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Cross</w:t>
            </w:r>
            <w:r w:rsidRPr="00132F2C">
              <w:rPr>
                <w:rFonts w:asciiTheme="minorHAnsi" w:hAnsiTheme="minorHAnsi" w:cstheme="minorHAnsi"/>
                <w:color w:val="1F3864" w:themeColor="accent1" w:themeShade="80"/>
                <w:sz w:val="22"/>
                <w:szCs w:val="22"/>
              </w:rPr>
              <w:noBreakHyphen/>
              <w:t>ministerial task forces, integrated policy frameworks</w:t>
            </w:r>
          </w:p>
        </w:tc>
        <w:tc>
          <w:tcPr>
            <w:tcW w:w="0" w:type="auto"/>
            <w:hideMark/>
          </w:tcPr>
          <w:p w14:paraId="54BA453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Avoids policy silos and ensures coherent action across sectors.</w:t>
            </w:r>
          </w:p>
        </w:tc>
        <w:tc>
          <w:tcPr>
            <w:tcW w:w="0" w:type="auto"/>
            <w:hideMark/>
          </w:tcPr>
          <w:p w14:paraId="08FEB10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Institutional turf wars, competing mandates, coordination fatigue.</w:t>
            </w:r>
          </w:p>
        </w:tc>
      </w:tr>
      <w:tr w:rsidR="00132F2C" w:rsidRPr="00132F2C" w14:paraId="1CA0470B" w14:textId="77777777" w:rsidTr="00132F2C">
        <w:tc>
          <w:tcPr>
            <w:tcW w:w="0" w:type="auto"/>
            <w:hideMark/>
          </w:tcPr>
          <w:p w14:paraId="383FA0FC"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Thematic Working Groups</w:t>
            </w:r>
          </w:p>
        </w:tc>
        <w:tc>
          <w:tcPr>
            <w:tcW w:w="0" w:type="auto"/>
            <w:hideMark/>
          </w:tcPr>
          <w:p w14:paraId="7C0FA854" w14:textId="77777777" w:rsidR="00132F2C" w:rsidRPr="00132F2C" w:rsidRDefault="00132F2C" w:rsidP="00132F2C">
            <w:pPr>
              <w:rPr>
                <w:rFonts w:asciiTheme="minorHAnsi" w:hAnsiTheme="minorHAnsi" w:cstheme="minorHAnsi"/>
                <w:color w:val="1F3864" w:themeColor="accent1" w:themeShade="80"/>
                <w:sz w:val="22"/>
                <w:szCs w:val="22"/>
              </w:rPr>
            </w:pPr>
            <w:hyperlink r:id="rId206" w:history="1">
              <w:r w:rsidRPr="00132F2C">
                <w:rPr>
                  <w:rStyle w:val="Hyperlink"/>
                  <w:rFonts w:asciiTheme="minorHAnsi" w:hAnsiTheme="minorHAnsi" w:cstheme="minorHAnsi"/>
                  <w:color w:val="023160" w:themeColor="hyperlink" w:themeShade="80"/>
                  <w:sz w:val="22"/>
                  <w:szCs w:val="22"/>
                </w:rPr>
                <w:t>Biermann et al. (2009)</w:t>
              </w:r>
            </w:hyperlink>
            <w:r w:rsidRPr="00132F2C">
              <w:rPr>
                <w:rFonts w:asciiTheme="minorHAnsi" w:hAnsiTheme="minorHAnsi" w:cstheme="minorHAnsi"/>
                <w:color w:val="1F3864" w:themeColor="accent1" w:themeShade="80"/>
                <w:sz w:val="22"/>
                <w:szCs w:val="22"/>
              </w:rPr>
              <w:t xml:space="preserve">; </w:t>
            </w:r>
            <w:hyperlink r:id="rId207" w:history="1">
              <w:r w:rsidRPr="00132F2C">
                <w:rPr>
                  <w:rStyle w:val="Hyperlink"/>
                  <w:rFonts w:asciiTheme="minorHAnsi" w:hAnsiTheme="minorHAnsi" w:cstheme="minorHAnsi"/>
                  <w:color w:val="023160" w:themeColor="hyperlink" w:themeShade="80"/>
                  <w:sz w:val="22"/>
                  <w:szCs w:val="22"/>
                </w:rPr>
                <w:t>UNEP Thematic Cluster Reports</w:t>
              </w:r>
            </w:hyperlink>
            <w:r w:rsidRPr="00132F2C">
              <w:rPr>
                <w:rFonts w:asciiTheme="minorHAnsi" w:hAnsiTheme="minorHAnsi" w:cstheme="minorHAnsi"/>
                <w:color w:val="1F3864" w:themeColor="accent1" w:themeShade="80"/>
                <w:sz w:val="22"/>
                <w:szCs w:val="22"/>
              </w:rPr>
              <w:t xml:space="preserve">; </w:t>
            </w:r>
            <w:hyperlink r:id="rId208" w:history="1">
              <w:r w:rsidRPr="00132F2C">
                <w:rPr>
                  <w:rStyle w:val="Hyperlink"/>
                  <w:rFonts w:asciiTheme="minorHAnsi" w:hAnsiTheme="minorHAnsi" w:cstheme="minorHAnsi"/>
                  <w:color w:val="023160" w:themeColor="hyperlink" w:themeShade="80"/>
                  <w:sz w:val="22"/>
                  <w:szCs w:val="22"/>
                </w:rPr>
                <w:t>CBD Subsidiary Body Recommendations</w:t>
              </w:r>
            </w:hyperlink>
          </w:p>
        </w:tc>
        <w:tc>
          <w:tcPr>
            <w:tcW w:w="0" w:type="auto"/>
            <w:hideMark/>
          </w:tcPr>
          <w:p w14:paraId="7FB994F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Biermann et al. (2009) identify issue</w:t>
            </w:r>
            <w:r w:rsidRPr="00132F2C">
              <w:rPr>
                <w:rFonts w:asciiTheme="minorHAnsi" w:hAnsiTheme="minorHAnsi" w:cstheme="minorHAnsi"/>
                <w:color w:val="1F3864" w:themeColor="accent1" w:themeShade="80"/>
                <w:sz w:val="22"/>
                <w:szCs w:val="22"/>
              </w:rPr>
              <w:noBreakHyphen/>
              <w:t>specific working groups as flexible governance tools. UNEP and CBD bodies convene thematic clusters for biodiversity, climate, or pollution.</w:t>
            </w:r>
          </w:p>
        </w:tc>
        <w:tc>
          <w:tcPr>
            <w:tcW w:w="0" w:type="auto"/>
            <w:hideMark/>
          </w:tcPr>
          <w:p w14:paraId="0D951B6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Time</w:t>
            </w:r>
            <w:r w:rsidRPr="00132F2C">
              <w:rPr>
                <w:rFonts w:asciiTheme="minorHAnsi" w:hAnsiTheme="minorHAnsi" w:cstheme="minorHAnsi"/>
                <w:color w:val="1F3864" w:themeColor="accent1" w:themeShade="80"/>
                <w:sz w:val="22"/>
                <w:szCs w:val="22"/>
              </w:rPr>
              <w:noBreakHyphen/>
              <w:t>bound expert groups, issue</w:t>
            </w:r>
            <w:r w:rsidRPr="00132F2C">
              <w:rPr>
                <w:rFonts w:asciiTheme="minorHAnsi" w:hAnsiTheme="minorHAnsi" w:cstheme="minorHAnsi"/>
                <w:color w:val="1F3864" w:themeColor="accent1" w:themeShade="80"/>
                <w:sz w:val="22"/>
                <w:szCs w:val="22"/>
              </w:rPr>
              <w:noBreakHyphen/>
              <w:t>specific committees</w:t>
            </w:r>
          </w:p>
        </w:tc>
        <w:tc>
          <w:tcPr>
            <w:tcW w:w="0" w:type="auto"/>
            <w:hideMark/>
          </w:tcPr>
          <w:p w14:paraId="2C491D8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Enables focused deliberation and targeted outputs.</w:t>
            </w:r>
          </w:p>
        </w:tc>
        <w:tc>
          <w:tcPr>
            <w:tcW w:w="0" w:type="auto"/>
            <w:hideMark/>
          </w:tcPr>
          <w:p w14:paraId="0BFDA49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Short mandates limit continuity, uneven participation.</w:t>
            </w:r>
          </w:p>
        </w:tc>
      </w:tr>
      <w:tr w:rsidR="00132F2C" w:rsidRPr="00132F2C" w14:paraId="70A6462E" w14:textId="77777777" w:rsidTr="00132F2C">
        <w:tc>
          <w:tcPr>
            <w:tcW w:w="0" w:type="auto"/>
            <w:hideMark/>
          </w:tcPr>
          <w:p w14:paraId="4BD2331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Joint Research and Projects</w:t>
            </w:r>
          </w:p>
        </w:tc>
        <w:tc>
          <w:tcPr>
            <w:tcW w:w="0" w:type="auto"/>
            <w:hideMark/>
          </w:tcPr>
          <w:p w14:paraId="59FE8E69" w14:textId="77777777" w:rsidR="00132F2C" w:rsidRPr="00132F2C" w:rsidRDefault="00132F2C" w:rsidP="00132F2C">
            <w:pPr>
              <w:rPr>
                <w:rFonts w:asciiTheme="minorHAnsi" w:hAnsiTheme="minorHAnsi" w:cstheme="minorHAnsi"/>
                <w:color w:val="1F3864" w:themeColor="accent1" w:themeShade="80"/>
                <w:sz w:val="22"/>
                <w:szCs w:val="22"/>
              </w:rPr>
            </w:pPr>
            <w:hyperlink r:id="rId209" w:history="1">
              <w:proofErr w:type="spellStart"/>
              <w:r w:rsidRPr="00132F2C">
                <w:rPr>
                  <w:rStyle w:val="Hyperlink"/>
                  <w:rFonts w:asciiTheme="minorHAnsi" w:hAnsiTheme="minorHAnsi" w:cstheme="minorHAnsi"/>
                  <w:color w:val="023160" w:themeColor="hyperlink" w:themeShade="80"/>
                  <w:sz w:val="22"/>
                  <w:szCs w:val="22"/>
                </w:rPr>
                <w:t>Prideaux</w:t>
              </w:r>
              <w:proofErr w:type="spellEnd"/>
              <w:r w:rsidRPr="00132F2C">
                <w:rPr>
                  <w:rStyle w:val="Hyperlink"/>
                  <w:rFonts w:asciiTheme="minorHAnsi" w:hAnsiTheme="minorHAnsi" w:cstheme="minorHAnsi"/>
                  <w:color w:val="023160" w:themeColor="hyperlink" w:themeShade="80"/>
                  <w:sz w:val="22"/>
                  <w:szCs w:val="22"/>
                </w:rPr>
                <w:t xml:space="preserve"> et al. (2020)</w:t>
              </w:r>
            </w:hyperlink>
            <w:r w:rsidRPr="00132F2C">
              <w:rPr>
                <w:rFonts w:asciiTheme="minorHAnsi" w:hAnsiTheme="minorHAnsi" w:cstheme="minorHAnsi"/>
                <w:color w:val="1F3864" w:themeColor="accent1" w:themeShade="80"/>
                <w:sz w:val="22"/>
                <w:szCs w:val="22"/>
              </w:rPr>
              <w:t xml:space="preserve">; </w:t>
            </w:r>
            <w:hyperlink r:id="rId210" w:history="1">
              <w:r w:rsidRPr="00132F2C">
                <w:rPr>
                  <w:rStyle w:val="Hyperlink"/>
                  <w:rFonts w:asciiTheme="minorHAnsi" w:hAnsiTheme="minorHAnsi" w:cstheme="minorHAnsi"/>
                  <w:color w:val="023160" w:themeColor="hyperlink" w:themeShade="80"/>
                  <w:sz w:val="22"/>
                  <w:szCs w:val="22"/>
                </w:rPr>
                <w:t>IOC</w:t>
              </w:r>
              <w:r w:rsidRPr="00132F2C">
                <w:rPr>
                  <w:rStyle w:val="Hyperlink"/>
                  <w:rFonts w:asciiTheme="minorHAnsi" w:hAnsiTheme="minorHAnsi" w:cstheme="minorHAnsi"/>
                  <w:color w:val="023160" w:themeColor="hyperlink" w:themeShade="80"/>
                  <w:sz w:val="22"/>
                  <w:szCs w:val="22"/>
                </w:rPr>
                <w:noBreakHyphen/>
                <w:t>UNESCO Joint Project Portfolios</w:t>
              </w:r>
            </w:hyperlink>
            <w:r w:rsidRPr="00132F2C">
              <w:rPr>
                <w:rFonts w:asciiTheme="minorHAnsi" w:hAnsiTheme="minorHAnsi" w:cstheme="minorHAnsi"/>
                <w:color w:val="1F3864" w:themeColor="accent1" w:themeShade="80"/>
                <w:sz w:val="22"/>
                <w:szCs w:val="22"/>
              </w:rPr>
              <w:t xml:space="preserve">; </w:t>
            </w:r>
            <w:hyperlink r:id="rId211" w:history="1">
              <w:r w:rsidRPr="00132F2C">
                <w:rPr>
                  <w:rStyle w:val="Hyperlink"/>
                  <w:rFonts w:asciiTheme="minorHAnsi" w:hAnsiTheme="minorHAnsi" w:cstheme="minorHAnsi"/>
                  <w:color w:val="023160" w:themeColor="hyperlink" w:themeShade="80"/>
                  <w:sz w:val="22"/>
                  <w:szCs w:val="22"/>
                </w:rPr>
                <w:t>GEF Project Database</w:t>
              </w:r>
            </w:hyperlink>
          </w:p>
        </w:tc>
        <w:tc>
          <w:tcPr>
            <w:tcW w:w="0" w:type="auto"/>
            <w:hideMark/>
          </w:tcPr>
          <w:p w14:paraId="15AA2D8F" w14:textId="77777777" w:rsidR="00132F2C" w:rsidRPr="00132F2C" w:rsidRDefault="00132F2C" w:rsidP="00132F2C">
            <w:pPr>
              <w:rPr>
                <w:rFonts w:asciiTheme="minorHAnsi" w:hAnsiTheme="minorHAnsi" w:cstheme="minorHAnsi"/>
                <w:color w:val="1F3864" w:themeColor="accent1" w:themeShade="80"/>
                <w:sz w:val="22"/>
                <w:szCs w:val="22"/>
              </w:rPr>
            </w:pPr>
            <w:proofErr w:type="spellStart"/>
            <w:r w:rsidRPr="00132F2C">
              <w:rPr>
                <w:rFonts w:asciiTheme="minorHAnsi" w:hAnsiTheme="minorHAnsi" w:cstheme="minorHAnsi"/>
                <w:color w:val="1F3864" w:themeColor="accent1" w:themeShade="80"/>
                <w:sz w:val="22"/>
                <w:szCs w:val="22"/>
              </w:rPr>
              <w:t>Prideaux</w:t>
            </w:r>
            <w:proofErr w:type="spellEnd"/>
            <w:r w:rsidRPr="00132F2C">
              <w:rPr>
                <w:rFonts w:asciiTheme="minorHAnsi" w:hAnsiTheme="minorHAnsi" w:cstheme="minorHAnsi"/>
                <w:color w:val="1F3864" w:themeColor="accent1" w:themeShade="80"/>
                <w:sz w:val="22"/>
                <w:szCs w:val="22"/>
              </w:rPr>
              <w:t> et al. (2020) stress co</w:t>
            </w:r>
            <w:r w:rsidRPr="00132F2C">
              <w:rPr>
                <w:rFonts w:asciiTheme="minorHAnsi" w:hAnsiTheme="minorHAnsi" w:cstheme="minorHAnsi"/>
                <w:color w:val="1F3864" w:themeColor="accent1" w:themeShade="80"/>
                <w:sz w:val="22"/>
                <w:szCs w:val="22"/>
              </w:rPr>
              <w:noBreakHyphen/>
              <w:t>production of knowledge between actors. IOC</w:t>
            </w:r>
            <w:r w:rsidRPr="00132F2C">
              <w:rPr>
                <w:rFonts w:asciiTheme="minorHAnsi" w:hAnsiTheme="minorHAnsi" w:cstheme="minorHAnsi"/>
                <w:color w:val="1F3864" w:themeColor="accent1" w:themeShade="80"/>
                <w:sz w:val="22"/>
                <w:szCs w:val="22"/>
              </w:rPr>
              <w:noBreakHyphen/>
              <w:t>UNESCO and GEF portfolios illustrate joint research across institutions and countries.</w:t>
            </w:r>
          </w:p>
        </w:tc>
        <w:tc>
          <w:tcPr>
            <w:tcW w:w="0" w:type="auto"/>
            <w:hideMark/>
          </w:tcPr>
          <w:p w14:paraId="3CA2918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Multi</w:t>
            </w:r>
            <w:r w:rsidRPr="00132F2C">
              <w:rPr>
                <w:rFonts w:asciiTheme="minorHAnsi" w:hAnsiTheme="minorHAnsi" w:cstheme="minorHAnsi"/>
                <w:color w:val="1F3864" w:themeColor="accent1" w:themeShade="80"/>
                <w:sz w:val="22"/>
                <w:szCs w:val="22"/>
              </w:rPr>
              <w:noBreakHyphen/>
              <w:t>partner research grants, collaborative pilot projects</w:t>
            </w:r>
          </w:p>
        </w:tc>
        <w:tc>
          <w:tcPr>
            <w:tcW w:w="0" w:type="auto"/>
            <w:hideMark/>
          </w:tcPr>
          <w:p w14:paraId="43B4D17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Pools expertise and resources to address complex challenges.</w:t>
            </w:r>
          </w:p>
        </w:tc>
        <w:tc>
          <w:tcPr>
            <w:tcW w:w="0" w:type="auto"/>
            <w:hideMark/>
          </w:tcPr>
          <w:p w14:paraId="0AD38BC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Differing research priorities, data</w:t>
            </w:r>
            <w:r w:rsidRPr="00132F2C">
              <w:rPr>
                <w:rFonts w:asciiTheme="minorHAnsi" w:hAnsiTheme="minorHAnsi" w:cstheme="minorHAnsi"/>
                <w:color w:val="1F3864" w:themeColor="accent1" w:themeShade="80"/>
                <w:sz w:val="22"/>
                <w:szCs w:val="22"/>
              </w:rPr>
              <w:noBreakHyphen/>
              <w:t>sharing reluctance.</w:t>
            </w:r>
          </w:p>
        </w:tc>
      </w:tr>
      <w:tr w:rsidR="00132F2C" w:rsidRPr="00132F2C" w14:paraId="03625158" w14:textId="77777777" w:rsidTr="00132F2C">
        <w:tc>
          <w:tcPr>
            <w:tcW w:w="0" w:type="auto"/>
            <w:hideMark/>
          </w:tcPr>
          <w:p w14:paraId="35DF3A5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Shared Monitoring Frameworks</w:t>
            </w:r>
          </w:p>
        </w:tc>
        <w:tc>
          <w:tcPr>
            <w:tcW w:w="0" w:type="auto"/>
            <w:hideMark/>
          </w:tcPr>
          <w:p w14:paraId="4FCDD72C" w14:textId="77777777" w:rsidR="00132F2C" w:rsidRPr="00132F2C" w:rsidRDefault="00132F2C" w:rsidP="00132F2C">
            <w:pPr>
              <w:rPr>
                <w:rFonts w:asciiTheme="minorHAnsi" w:hAnsiTheme="minorHAnsi" w:cstheme="minorHAnsi"/>
                <w:color w:val="1F3864" w:themeColor="accent1" w:themeShade="80"/>
                <w:sz w:val="22"/>
                <w:szCs w:val="22"/>
              </w:rPr>
            </w:pPr>
            <w:hyperlink r:id="rId212" w:history="1">
              <w:r w:rsidRPr="00132F2C">
                <w:rPr>
                  <w:rStyle w:val="Hyperlink"/>
                  <w:rFonts w:asciiTheme="minorHAnsi" w:hAnsiTheme="minorHAnsi" w:cstheme="minorHAnsi"/>
                  <w:color w:val="023160" w:themeColor="hyperlink" w:themeShade="80"/>
                  <w:sz w:val="22"/>
                  <w:szCs w:val="22"/>
                </w:rPr>
                <w:t>Miller et al. (2014)</w:t>
              </w:r>
            </w:hyperlink>
            <w:r w:rsidRPr="00132F2C">
              <w:rPr>
                <w:rFonts w:asciiTheme="minorHAnsi" w:hAnsiTheme="minorHAnsi" w:cstheme="minorHAnsi"/>
                <w:color w:val="1F3864" w:themeColor="accent1" w:themeShade="80"/>
                <w:sz w:val="22"/>
                <w:szCs w:val="22"/>
              </w:rPr>
              <w:t xml:space="preserve">; </w:t>
            </w:r>
            <w:hyperlink r:id="rId213" w:history="1">
              <w:r w:rsidRPr="00132F2C">
                <w:rPr>
                  <w:rStyle w:val="Hyperlink"/>
                  <w:rFonts w:asciiTheme="minorHAnsi" w:hAnsiTheme="minorHAnsi" w:cstheme="minorHAnsi"/>
                  <w:color w:val="023160" w:themeColor="hyperlink" w:themeShade="80"/>
                  <w:sz w:val="22"/>
                  <w:szCs w:val="22"/>
                </w:rPr>
                <w:t>GOOS Reports</w:t>
              </w:r>
            </w:hyperlink>
            <w:r w:rsidRPr="00132F2C">
              <w:rPr>
                <w:rFonts w:asciiTheme="minorHAnsi" w:hAnsiTheme="minorHAnsi" w:cstheme="minorHAnsi"/>
                <w:color w:val="1F3864" w:themeColor="accent1" w:themeShade="80"/>
                <w:sz w:val="22"/>
                <w:szCs w:val="22"/>
              </w:rPr>
              <w:t xml:space="preserve">; </w:t>
            </w:r>
            <w:hyperlink r:id="rId214" w:history="1">
              <w:r w:rsidRPr="00132F2C">
                <w:rPr>
                  <w:rStyle w:val="Hyperlink"/>
                  <w:rFonts w:asciiTheme="minorHAnsi" w:hAnsiTheme="minorHAnsi" w:cstheme="minorHAnsi"/>
                  <w:color w:val="023160" w:themeColor="hyperlink" w:themeShade="80"/>
                  <w:sz w:val="22"/>
                  <w:szCs w:val="22"/>
                </w:rPr>
                <w:t>Regional Seas Indicator Frameworks</w:t>
              </w:r>
            </w:hyperlink>
          </w:p>
        </w:tc>
        <w:tc>
          <w:tcPr>
            <w:tcW w:w="0" w:type="auto"/>
            <w:hideMark/>
          </w:tcPr>
          <w:p w14:paraId="26C49C5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Miller et al. (2014) highlight the importance of harmonised indicators for comparability. GOOS and Regional Seas frameworks standardise monitoring across jurisdictions.</w:t>
            </w:r>
          </w:p>
        </w:tc>
        <w:tc>
          <w:tcPr>
            <w:tcW w:w="0" w:type="auto"/>
            <w:hideMark/>
          </w:tcPr>
          <w:p w14:paraId="5FAE518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Common indicator sets, interoperable databases</w:t>
            </w:r>
          </w:p>
        </w:tc>
        <w:tc>
          <w:tcPr>
            <w:tcW w:w="0" w:type="auto"/>
            <w:hideMark/>
          </w:tcPr>
          <w:p w14:paraId="3D7B84E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Supports consistent tracking of progress and ecosystem health.</w:t>
            </w:r>
          </w:p>
        </w:tc>
        <w:tc>
          <w:tcPr>
            <w:tcW w:w="0" w:type="auto"/>
            <w:hideMark/>
          </w:tcPr>
          <w:p w14:paraId="46A6ADB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Technical incompatibility, divergent methodologies.</w:t>
            </w:r>
          </w:p>
        </w:tc>
      </w:tr>
      <w:tr w:rsidR="00132F2C" w:rsidRPr="00132F2C" w14:paraId="7EB477CC" w14:textId="77777777" w:rsidTr="00132F2C">
        <w:tc>
          <w:tcPr>
            <w:tcW w:w="0" w:type="auto"/>
            <w:hideMark/>
          </w:tcPr>
          <w:p w14:paraId="6DD761F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lastRenderedPageBreak/>
              <w:t>Multi</w:t>
            </w:r>
            <w:r w:rsidRPr="00132F2C">
              <w:rPr>
                <w:rFonts w:asciiTheme="minorHAnsi" w:hAnsiTheme="minorHAnsi" w:cstheme="minorHAnsi"/>
                <w:b/>
                <w:bCs/>
                <w:color w:val="1F3864" w:themeColor="accent1" w:themeShade="80"/>
                <w:sz w:val="22"/>
                <w:szCs w:val="22"/>
              </w:rPr>
              <w:noBreakHyphen/>
              <w:t>stakeholder Platforms</w:t>
            </w:r>
          </w:p>
        </w:tc>
        <w:tc>
          <w:tcPr>
            <w:tcW w:w="0" w:type="auto"/>
            <w:hideMark/>
          </w:tcPr>
          <w:p w14:paraId="7AD698D2" w14:textId="77777777" w:rsidR="00132F2C" w:rsidRPr="00132F2C" w:rsidRDefault="00132F2C" w:rsidP="00132F2C">
            <w:pPr>
              <w:rPr>
                <w:rFonts w:asciiTheme="minorHAnsi" w:hAnsiTheme="minorHAnsi" w:cstheme="minorHAnsi"/>
                <w:color w:val="1F3864" w:themeColor="accent1" w:themeShade="80"/>
                <w:sz w:val="22"/>
                <w:szCs w:val="22"/>
              </w:rPr>
            </w:pPr>
            <w:hyperlink r:id="rId215" w:history="1">
              <w:r w:rsidRPr="00132F2C">
                <w:rPr>
                  <w:rStyle w:val="Hyperlink"/>
                  <w:rFonts w:asciiTheme="minorHAnsi" w:hAnsiTheme="minorHAnsi" w:cstheme="minorHAnsi"/>
                  <w:color w:val="023160" w:themeColor="hyperlink" w:themeShade="80"/>
                  <w:sz w:val="22"/>
                  <w:szCs w:val="22"/>
                </w:rPr>
                <w:t>Berkes (2012)</w:t>
              </w:r>
            </w:hyperlink>
            <w:r w:rsidRPr="00132F2C">
              <w:rPr>
                <w:rFonts w:asciiTheme="minorHAnsi" w:hAnsiTheme="minorHAnsi" w:cstheme="minorHAnsi"/>
                <w:color w:val="1F3864" w:themeColor="accent1" w:themeShade="80"/>
                <w:sz w:val="22"/>
                <w:szCs w:val="22"/>
              </w:rPr>
              <w:t xml:space="preserve">; </w:t>
            </w:r>
            <w:hyperlink r:id="rId216" w:history="1">
              <w:r w:rsidRPr="00132F2C">
                <w:rPr>
                  <w:rStyle w:val="Hyperlink"/>
                  <w:rFonts w:asciiTheme="minorHAnsi" w:hAnsiTheme="minorHAnsi" w:cstheme="minorHAnsi"/>
                  <w:color w:val="023160" w:themeColor="hyperlink" w:themeShade="80"/>
                  <w:sz w:val="22"/>
                  <w:szCs w:val="22"/>
                </w:rPr>
                <w:t>UN Ocean Conference Partnerships</w:t>
              </w:r>
            </w:hyperlink>
            <w:r w:rsidRPr="00132F2C">
              <w:rPr>
                <w:rFonts w:asciiTheme="minorHAnsi" w:hAnsiTheme="minorHAnsi" w:cstheme="minorHAnsi"/>
                <w:color w:val="1F3864" w:themeColor="accent1" w:themeShade="80"/>
                <w:sz w:val="22"/>
                <w:szCs w:val="22"/>
              </w:rPr>
              <w:t xml:space="preserve">; </w:t>
            </w:r>
            <w:hyperlink r:id="rId217" w:history="1">
              <w:r w:rsidRPr="00132F2C">
                <w:rPr>
                  <w:rStyle w:val="Hyperlink"/>
                  <w:rFonts w:asciiTheme="minorHAnsi" w:hAnsiTheme="minorHAnsi" w:cstheme="minorHAnsi"/>
                  <w:color w:val="023160" w:themeColor="hyperlink" w:themeShade="80"/>
                  <w:sz w:val="22"/>
                  <w:szCs w:val="22"/>
                </w:rPr>
                <w:t>World Bank PROBLUE Facility</w:t>
              </w:r>
            </w:hyperlink>
          </w:p>
        </w:tc>
        <w:tc>
          <w:tcPr>
            <w:tcW w:w="0" w:type="auto"/>
            <w:hideMark/>
          </w:tcPr>
          <w:p w14:paraId="15B1AAC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Berkes (2012) describes multi</w:t>
            </w:r>
            <w:r w:rsidRPr="00132F2C">
              <w:rPr>
                <w:rFonts w:asciiTheme="minorHAnsi" w:hAnsiTheme="minorHAnsi" w:cstheme="minorHAnsi"/>
                <w:color w:val="1F3864" w:themeColor="accent1" w:themeShade="80"/>
                <w:sz w:val="22"/>
                <w:szCs w:val="22"/>
              </w:rPr>
              <w:noBreakHyphen/>
              <w:t>level stakeholder forums as vehicles for adaptive governance. UN partnerships and PROBLUE convene states, NGOs, and industry.</w:t>
            </w:r>
          </w:p>
        </w:tc>
        <w:tc>
          <w:tcPr>
            <w:tcW w:w="0" w:type="auto"/>
            <w:hideMark/>
          </w:tcPr>
          <w:p w14:paraId="5BF22D5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Stakeholder assemblies, partnership forums</w:t>
            </w:r>
          </w:p>
        </w:tc>
        <w:tc>
          <w:tcPr>
            <w:tcW w:w="0" w:type="auto"/>
            <w:hideMark/>
          </w:tcPr>
          <w:p w14:paraId="74C295F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Builds legitimacy and fosters inclusive solutions.</w:t>
            </w:r>
          </w:p>
        </w:tc>
        <w:tc>
          <w:tcPr>
            <w:tcW w:w="0" w:type="auto"/>
            <w:hideMark/>
          </w:tcPr>
          <w:p w14:paraId="6800B88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Power imbalances, risk of tokenism.</w:t>
            </w:r>
          </w:p>
        </w:tc>
      </w:tr>
      <w:tr w:rsidR="00132F2C" w:rsidRPr="00132F2C" w14:paraId="0D3FD907" w14:textId="77777777" w:rsidTr="00132F2C">
        <w:tc>
          <w:tcPr>
            <w:tcW w:w="0" w:type="auto"/>
            <w:hideMark/>
          </w:tcPr>
          <w:p w14:paraId="6C64BC0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Inter</w:t>
            </w:r>
            <w:r w:rsidRPr="00132F2C">
              <w:rPr>
                <w:rFonts w:asciiTheme="minorHAnsi" w:hAnsiTheme="minorHAnsi" w:cstheme="minorHAnsi"/>
                <w:b/>
                <w:bCs/>
                <w:color w:val="1F3864" w:themeColor="accent1" w:themeShade="80"/>
                <w:sz w:val="22"/>
                <w:szCs w:val="22"/>
              </w:rPr>
              <w:noBreakHyphen/>
              <w:t>agency Technical Cooperation</w:t>
            </w:r>
          </w:p>
        </w:tc>
        <w:tc>
          <w:tcPr>
            <w:tcW w:w="0" w:type="auto"/>
            <w:hideMark/>
          </w:tcPr>
          <w:p w14:paraId="6F8D459B" w14:textId="77777777" w:rsidR="00132F2C" w:rsidRPr="00132F2C" w:rsidRDefault="00132F2C" w:rsidP="00132F2C">
            <w:pPr>
              <w:rPr>
                <w:rFonts w:asciiTheme="minorHAnsi" w:hAnsiTheme="minorHAnsi" w:cstheme="minorHAnsi"/>
                <w:color w:val="1F3864" w:themeColor="accent1" w:themeShade="80"/>
                <w:sz w:val="22"/>
                <w:szCs w:val="22"/>
              </w:rPr>
            </w:pPr>
            <w:hyperlink r:id="rId218" w:history="1">
              <w:proofErr w:type="spellStart"/>
              <w:r w:rsidRPr="00132F2C">
                <w:rPr>
                  <w:rStyle w:val="Hyperlink"/>
                  <w:rFonts w:asciiTheme="minorHAnsi" w:hAnsiTheme="minorHAnsi" w:cstheme="minorHAnsi"/>
                  <w:color w:val="023160" w:themeColor="hyperlink" w:themeShade="80"/>
                  <w:sz w:val="22"/>
                  <w:szCs w:val="22"/>
                </w:rPr>
                <w:t>Chasek</w:t>
              </w:r>
              <w:proofErr w:type="spellEnd"/>
              <w:r w:rsidRPr="00132F2C">
                <w:rPr>
                  <w:rStyle w:val="Hyperlink"/>
                  <w:rFonts w:asciiTheme="minorHAnsi" w:hAnsiTheme="minorHAnsi" w:cstheme="minorHAnsi"/>
                  <w:color w:val="023160" w:themeColor="hyperlink" w:themeShade="80"/>
                  <w:sz w:val="22"/>
                  <w:szCs w:val="22"/>
                </w:rPr>
                <w:t xml:space="preserve"> et al. (2018)</w:t>
              </w:r>
            </w:hyperlink>
            <w:r w:rsidRPr="00132F2C">
              <w:rPr>
                <w:rFonts w:asciiTheme="minorHAnsi" w:hAnsiTheme="minorHAnsi" w:cstheme="minorHAnsi"/>
                <w:color w:val="1F3864" w:themeColor="accent1" w:themeShade="80"/>
                <w:sz w:val="22"/>
                <w:szCs w:val="22"/>
              </w:rPr>
              <w:t xml:space="preserve">; </w:t>
            </w:r>
            <w:hyperlink r:id="rId219" w:history="1">
              <w:r w:rsidRPr="00132F2C">
                <w:rPr>
                  <w:rStyle w:val="Hyperlink"/>
                  <w:rFonts w:asciiTheme="minorHAnsi" w:hAnsiTheme="minorHAnsi" w:cstheme="minorHAnsi"/>
                  <w:color w:val="023160" w:themeColor="hyperlink" w:themeShade="80"/>
                  <w:sz w:val="22"/>
                  <w:szCs w:val="22"/>
                </w:rPr>
                <w:t>IMO–ILO Joint Statements</w:t>
              </w:r>
            </w:hyperlink>
            <w:r w:rsidRPr="00132F2C">
              <w:rPr>
                <w:rFonts w:asciiTheme="minorHAnsi" w:hAnsiTheme="minorHAnsi" w:cstheme="minorHAnsi"/>
                <w:color w:val="1F3864" w:themeColor="accent1" w:themeShade="80"/>
                <w:sz w:val="22"/>
                <w:szCs w:val="22"/>
              </w:rPr>
              <w:t xml:space="preserve">; </w:t>
            </w:r>
            <w:hyperlink r:id="rId220" w:history="1">
              <w:r w:rsidRPr="00132F2C">
                <w:rPr>
                  <w:rStyle w:val="Hyperlink"/>
                  <w:rFonts w:asciiTheme="minorHAnsi" w:hAnsiTheme="minorHAnsi" w:cstheme="minorHAnsi"/>
                  <w:color w:val="023160" w:themeColor="hyperlink" w:themeShade="80"/>
                  <w:sz w:val="22"/>
                  <w:szCs w:val="22"/>
                </w:rPr>
                <w:t>FAO–IMO Collaboration Frameworks</w:t>
              </w:r>
            </w:hyperlink>
          </w:p>
        </w:tc>
        <w:tc>
          <w:tcPr>
            <w:tcW w:w="0" w:type="auto"/>
            <w:hideMark/>
          </w:tcPr>
          <w:p w14:paraId="19B44405" w14:textId="77777777" w:rsidR="00132F2C" w:rsidRPr="00132F2C" w:rsidRDefault="00132F2C" w:rsidP="00132F2C">
            <w:pPr>
              <w:rPr>
                <w:rFonts w:asciiTheme="minorHAnsi" w:hAnsiTheme="minorHAnsi" w:cstheme="minorHAnsi"/>
                <w:color w:val="1F3864" w:themeColor="accent1" w:themeShade="80"/>
                <w:sz w:val="22"/>
                <w:szCs w:val="22"/>
              </w:rPr>
            </w:pPr>
            <w:proofErr w:type="spellStart"/>
            <w:r w:rsidRPr="00132F2C">
              <w:rPr>
                <w:rFonts w:asciiTheme="minorHAnsi" w:hAnsiTheme="minorHAnsi" w:cstheme="minorHAnsi"/>
                <w:color w:val="1F3864" w:themeColor="accent1" w:themeShade="80"/>
                <w:sz w:val="22"/>
                <w:szCs w:val="22"/>
              </w:rPr>
              <w:t>Chasek</w:t>
            </w:r>
            <w:proofErr w:type="spellEnd"/>
            <w:r w:rsidRPr="00132F2C">
              <w:rPr>
                <w:rFonts w:asciiTheme="minorHAnsi" w:hAnsiTheme="minorHAnsi" w:cstheme="minorHAnsi"/>
                <w:color w:val="1F3864" w:themeColor="accent1" w:themeShade="80"/>
                <w:sz w:val="22"/>
                <w:szCs w:val="22"/>
              </w:rPr>
              <w:t> et al. (2018) note technical cooperation as a practical mode of institutional synergy. IMO–ILO joint work and FAO–IMO agreements align labour, safety, and environmental standards.</w:t>
            </w:r>
          </w:p>
        </w:tc>
        <w:tc>
          <w:tcPr>
            <w:tcW w:w="0" w:type="auto"/>
            <w:hideMark/>
          </w:tcPr>
          <w:p w14:paraId="33A23F4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Joint technical committees, harmonised guidelines</w:t>
            </w:r>
          </w:p>
        </w:tc>
        <w:tc>
          <w:tcPr>
            <w:tcW w:w="0" w:type="auto"/>
            <w:hideMark/>
          </w:tcPr>
          <w:p w14:paraId="7262108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Leverages complementary mandates for efficiency.</w:t>
            </w:r>
          </w:p>
        </w:tc>
        <w:tc>
          <w:tcPr>
            <w:tcW w:w="0" w:type="auto"/>
            <w:hideMark/>
          </w:tcPr>
          <w:p w14:paraId="372122C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Differing technical standards, institutional silos.</w:t>
            </w:r>
          </w:p>
        </w:tc>
      </w:tr>
      <w:tr w:rsidR="00132F2C" w:rsidRPr="00132F2C" w14:paraId="35AB00C9" w14:textId="77777777" w:rsidTr="00132F2C">
        <w:tc>
          <w:tcPr>
            <w:tcW w:w="0" w:type="auto"/>
            <w:hideMark/>
          </w:tcPr>
          <w:p w14:paraId="6575A5E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Regional Economic Community Coordination</w:t>
            </w:r>
          </w:p>
        </w:tc>
        <w:tc>
          <w:tcPr>
            <w:tcW w:w="0" w:type="auto"/>
            <w:hideMark/>
          </w:tcPr>
          <w:p w14:paraId="6D697563" w14:textId="77777777" w:rsidR="00132F2C" w:rsidRPr="00132F2C" w:rsidRDefault="00132F2C" w:rsidP="00132F2C">
            <w:pPr>
              <w:rPr>
                <w:rFonts w:asciiTheme="minorHAnsi" w:hAnsiTheme="minorHAnsi" w:cstheme="minorHAnsi"/>
                <w:color w:val="1F3864" w:themeColor="accent1" w:themeShade="80"/>
                <w:sz w:val="22"/>
                <w:szCs w:val="22"/>
              </w:rPr>
            </w:pPr>
            <w:hyperlink r:id="rId221" w:history="1">
              <w:proofErr w:type="spellStart"/>
              <w:r w:rsidRPr="00132F2C">
                <w:rPr>
                  <w:rStyle w:val="Hyperlink"/>
                  <w:rFonts w:asciiTheme="minorHAnsi" w:hAnsiTheme="minorHAnsi" w:cstheme="minorHAnsi"/>
                  <w:color w:val="023160" w:themeColor="hyperlink" w:themeShade="80"/>
                  <w:sz w:val="22"/>
                  <w:szCs w:val="22"/>
                </w:rPr>
                <w:t>Balsiger</w:t>
              </w:r>
              <w:proofErr w:type="spellEnd"/>
              <w:r w:rsidRPr="00132F2C">
                <w:rPr>
                  <w:rStyle w:val="Hyperlink"/>
                  <w:rFonts w:asciiTheme="minorHAnsi" w:hAnsiTheme="minorHAnsi" w:cstheme="minorHAnsi"/>
                  <w:color w:val="023160" w:themeColor="hyperlink" w:themeShade="80"/>
                  <w:sz w:val="22"/>
                  <w:szCs w:val="22"/>
                </w:rPr>
                <w:t xml:space="preserve"> &amp; </w:t>
              </w:r>
              <w:proofErr w:type="spellStart"/>
              <w:r w:rsidRPr="00132F2C">
                <w:rPr>
                  <w:rStyle w:val="Hyperlink"/>
                  <w:rFonts w:asciiTheme="minorHAnsi" w:hAnsiTheme="minorHAnsi" w:cstheme="minorHAnsi"/>
                  <w:color w:val="023160" w:themeColor="hyperlink" w:themeShade="80"/>
                  <w:sz w:val="22"/>
                  <w:szCs w:val="22"/>
                </w:rPr>
                <w:t>Prys</w:t>
              </w:r>
              <w:proofErr w:type="spellEnd"/>
              <w:r w:rsidRPr="00132F2C">
                <w:rPr>
                  <w:rStyle w:val="Hyperlink"/>
                  <w:rFonts w:asciiTheme="minorHAnsi" w:hAnsiTheme="minorHAnsi" w:cstheme="minorHAnsi"/>
                  <w:color w:val="023160" w:themeColor="hyperlink" w:themeShade="80"/>
                  <w:sz w:val="22"/>
                  <w:szCs w:val="22"/>
                </w:rPr>
                <w:t> (2016)</w:t>
              </w:r>
            </w:hyperlink>
            <w:r w:rsidRPr="00132F2C">
              <w:rPr>
                <w:rFonts w:asciiTheme="minorHAnsi" w:hAnsiTheme="minorHAnsi" w:cstheme="minorHAnsi"/>
                <w:color w:val="1F3864" w:themeColor="accent1" w:themeShade="80"/>
                <w:sz w:val="22"/>
                <w:szCs w:val="22"/>
              </w:rPr>
              <w:t xml:space="preserve">; </w:t>
            </w:r>
            <w:hyperlink r:id="rId222" w:history="1">
              <w:r w:rsidRPr="00132F2C">
                <w:rPr>
                  <w:rStyle w:val="Hyperlink"/>
                  <w:rFonts w:asciiTheme="minorHAnsi" w:hAnsiTheme="minorHAnsi" w:cstheme="minorHAnsi"/>
                  <w:color w:val="023160" w:themeColor="hyperlink" w:themeShade="80"/>
                  <w:sz w:val="22"/>
                  <w:szCs w:val="22"/>
                </w:rPr>
                <w:t>African Union Blue Economy Strategy</w:t>
              </w:r>
            </w:hyperlink>
            <w:r w:rsidRPr="00132F2C">
              <w:rPr>
                <w:rFonts w:asciiTheme="minorHAnsi" w:hAnsiTheme="minorHAnsi" w:cstheme="minorHAnsi"/>
                <w:color w:val="1F3864" w:themeColor="accent1" w:themeShade="80"/>
                <w:sz w:val="22"/>
                <w:szCs w:val="22"/>
              </w:rPr>
              <w:t xml:space="preserve">; </w:t>
            </w:r>
            <w:hyperlink r:id="rId223" w:history="1">
              <w:r w:rsidRPr="00132F2C">
                <w:rPr>
                  <w:rStyle w:val="Hyperlink"/>
                  <w:rFonts w:asciiTheme="minorHAnsi" w:hAnsiTheme="minorHAnsi" w:cstheme="minorHAnsi"/>
                  <w:color w:val="023160" w:themeColor="hyperlink" w:themeShade="80"/>
                  <w:sz w:val="22"/>
                  <w:szCs w:val="22"/>
                </w:rPr>
                <w:t>EU Integrated Maritime Policy</w:t>
              </w:r>
            </w:hyperlink>
          </w:p>
        </w:tc>
        <w:tc>
          <w:tcPr>
            <w:tcW w:w="0" w:type="auto"/>
            <w:hideMark/>
          </w:tcPr>
          <w:p w14:paraId="01C95034" w14:textId="77777777" w:rsidR="00132F2C" w:rsidRPr="00132F2C" w:rsidRDefault="00132F2C" w:rsidP="00132F2C">
            <w:pPr>
              <w:rPr>
                <w:rFonts w:asciiTheme="minorHAnsi" w:hAnsiTheme="minorHAnsi" w:cstheme="minorHAnsi"/>
                <w:color w:val="1F3864" w:themeColor="accent1" w:themeShade="80"/>
                <w:sz w:val="22"/>
                <w:szCs w:val="22"/>
              </w:rPr>
            </w:pPr>
            <w:proofErr w:type="spellStart"/>
            <w:r w:rsidRPr="00132F2C">
              <w:rPr>
                <w:rFonts w:asciiTheme="minorHAnsi" w:hAnsiTheme="minorHAnsi" w:cstheme="minorHAnsi"/>
                <w:color w:val="1F3864" w:themeColor="accent1" w:themeShade="80"/>
                <w:sz w:val="22"/>
                <w:szCs w:val="22"/>
              </w:rPr>
              <w:t>Balsiger</w:t>
            </w:r>
            <w:proofErr w:type="spellEnd"/>
            <w:r w:rsidRPr="00132F2C">
              <w:rPr>
                <w:rFonts w:asciiTheme="minorHAnsi" w:hAnsiTheme="minorHAnsi" w:cstheme="minorHAnsi"/>
                <w:color w:val="1F3864" w:themeColor="accent1" w:themeShade="80"/>
                <w:sz w:val="22"/>
                <w:szCs w:val="22"/>
              </w:rPr>
              <w:t xml:space="preserve"> &amp; </w:t>
            </w:r>
            <w:proofErr w:type="spellStart"/>
            <w:r w:rsidRPr="00132F2C">
              <w:rPr>
                <w:rFonts w:asciiTheme="minorHAnsi" w:hAnsiTheme="minorHAnsi" w:cstheme="minorHAnsi"/>
                <w:color w:val="1F3864" w:themeColor="accent1" w:themeShade="80"/>
                <w:sz w:val="22"/>
                <w:szCs w:val="22"/>
              </w:rPr>
              <w:t>Prys</w:t>
            </w:r>
            <w:proofErr w:type="spellEnd"/>
            <w:r w:rsidRPr="00132F2C">
              <w:rPr>
                <w:rFonts w:asciiTheme="minorHAnsi" w:hAnsiTheme="minorHAnsi" w:cstheme="minorHAnsi"/>
                <w:color w:val="1F3864" w:themeColor="accent1" w:themeShade="80"/>
                <w:sz w:val="22"/>
                <w:szCs w:val="22"/>
              </w:rPr>
              <w:t> (2016) discuss regional integration organisations as governance nodes. AU and EU policies embed ocean economy coordination in regional economic agendas.</w:t>
            </w:r>
          </w:p>
        </w:tc>
        <w:tc>
          <w:tcPr>
            <w:tcW w:w="0" w:type="auto"/>
            <w:hideMark/>
          </w:tcPr>
          <w:p w14:paraId="23168A53"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Regional summits, integrated policies</w:t>
            </w:r>
          </w:p>
        </w:tc>
        <w:tc>
          <w:tcPr>
            <w:tcW w:w="0" w:type="auto"/>
            <w:hideMark/>
          </w:tcPr>
          <w:p w14:paraId="32C544C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Aligns trade, environment, and development goals.</w:t>
            </w:r>
          </w:p>
        </w:tc>
        <w:tc>
          <w:tcPr>
            <w:tcW w:w="0" w:type="auto"/>
            <w:hideMark/>
          </w:tcPr>
          <w:p w14:paraId="54ED7B9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Asymmetries in member capacity, political divergence.</w:t>
            </w:r>
          </w:p>
        </w:tc>
      </w:tr>
      <w:tr w:rsidR="00132F2C" w:rsidRPr="00132F2C" w14:paraId="5D0D6E3B" w14:textId="77777777" w:rsidTr="00132F2C">
        <w:tc>
          <w:tcPr>
            <w:tcW w:w="0" w:type="auto"/>
            <w:hideMark/>
          </w:tcPr>
          <w:p w14:paraId="7C49E9F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Advocacy and Communication</w:t>
            </w:r>
          </w:p>
        </w:tc>
        <w:tc>
          <w:tcPr>
            <w:tcW w:w="0" w:type="auto"/>
            <w:hideMark/>
          </w:tcPr>
          <w:p w14:paraId="3AA0DB55" w14:textId="77777777" w:rsidR="00132F2C" w:rsidRPr="00132F2C" w:rsidRDefault="00132F2C" w:rsidP="00132F2C">
            <w:pPr>
              <w:rPr>
                <w:rFonts w:asciiTheme="minorHAnsi" w:hAnsiTheme="minorHAnsi" w:cstheme="minorHAnsi"/>
                <w:color w:val="1F3864" w:themeColor="accent1" w:themeShade="80"/>
                <w:sz w:val="22"/>
                <w:szCs w:val="22"/>
              </w:rPr>
            </w:pPr>
            <w:hyperlink r:id="rId224" w:history="1">
              <w:r w:rsidRPr="00132F2C">
                <w:rPr>
                  <w:rStyle w:val="Hyperlink"/>
                  <w:rFonts w:asciiTheme="minorHAnsi" w:hAnsiTheme="minorHAnsi" w:cstheme="minorHAnsi"/>
                  <w:color w:val="023160" w:themeColor="hyperlink" w:themeShade="80"/>
                  <w:sz w:val="22"/>
                  <w:szCs w:val="22"/>
                </w:rPr>
                <w:t xml:space="preserve">Keck &amp; </w:t>
              </w:r>
              <w:proofErr w:type="spellStart"/>
              <w:r w:rsidRPr="00132F2C">
                <w:rPr>
                  <w:rStyle w:val="Hyperlink"/>
                  <w:rFonts w:asciiTheme="minorHAnsi" w:hAnsiTheme="minorHAnsi" w:cstheme="minorHAnsi"/>
                  <w:color w:val="023160" w:themeColor="hyperlink" w:themeShade="80"/>
                  <w:sz w:val="22"/>
                  <w:szCs w:val="22"/>
                </w:rPr>
                <w:t>Sikkink</w:t>
              </w:r>
              <w:proofErr w:type="spellEnd"/>
              <w:r w:rsidRPr="00132F2C">
                <w:rPr>
                  <w:rStyle w:val="Hyperlink"/>
                  <w:rFonts w:asciiTheme="minorHAnsi" w:hAnsiTheme="minorHAnsi" w:cstheme="minorHAnsi"/>
                  <w:color w:val="023160" w:themeColor="hyperlink" w:themeShade="80"/>
                  <w:sz w:val="22"/>
                  <w:szCs w:val="22"/>
                </w:rPr>
                <w:t> (1998)</w:t>
              </w:r>
            </w:hyperlink>
            <w:r w:rsidRPr="00132F2C">
              <w:rPr>
                <w:rFonts w:asciiTheme="minorHAnsi" w:hAnsiTheme="minorHAnsi" w:cstheme="minorHAnsi"/>
                <w:color w:val="1F3864" w:themeColor="accent1" w:themeShade="80"/>
                <w:sz w:val="22"/>
                <w:szCs w:val="22"/>
              </w:rPr>
              <w:t xml:space="preserve">; </w:t>
            </w:r>
            <w:hyperlink r:id="rId225" w:history="1">
              <w:r w:rsidRPr="00132F2C">
                <w:rPr>
                  <w:rStyle w:val="Hyperlink"/>
                  <w:rFonts w:asciiTheme="minorHAnsi" w:hAnsiTheme="minorHAnsi" w:cstheme="minorHAnsi"/>
                  <w:color w:val="023160" w:themeColor="hyperlink" w:themeShade="80"/>
                  <w:sz w:val="22"/>
                  <w:szCs w:val="22"/>
                </w:rPr>
                <w:t>IUCN Communication Strategies</w:t>
              </w:r>
            </w:hyperlink>
            <w:r w:rsidRPr="00132F2C">
              <w:rPr>
                <w:rFonts w:asciiTheme="minorHAnsi" w:hAnsiTheme="minorHAnsi" w:cstheme="minorHAnsi"/>
                <w:color w:val="1F3864" w:themeColor="accent1" w:themeShade="80"/>
                <w:sz w:val="22"/>
                <w:szCs w:val="22"/>
              </w:rPr>
              <w:t xml:space="preserve">; </w:t>
            </w:r>
            <w:hyperlink r:id="rId226" w:history="1">
              <w:r w:rsidRPr="00132F2C">
                <w:rPr>
                  <w:rStyle w:val="Hyperlink"/>
                  <w:rFonts w:asciiTheme="minorHAnsi" w:hAnsiTheme="minorHAnsi" w:cstheme="minorHAnsi"/>
                  <w:color w:val="023160" w:themeColor="hyperlink" w:themeShade="80"/>
                  <w:sz w:val="22"/>
                  <w:szCs w:val="22"/>
                </w:rPr>
                <w:t>UNESCO Ocean Literacy Campaigns</w:t>
              </w:r>
            </w:hyperlink>
          </w:p>
        </w:tc>
        <w:tc>
          <w:tcPr>
            <w:tcW w:w="0" w:type="auto"/>
            <w:hideMark/>
          </w:tcPr>
          <w:p w14:paraId="480B0D7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 xml:space="preserve">Keck &amp; </w:t>
            </w:r>
            <w:proofErr w:type="spellStart"/>
            <w:r w:rsidRPr="00132F2C">
              <w:rPr>
                <w:rFonts w:asciiTheme="minorHAnsi" w:hAnsiTheme="minorHAnsi" w:cstheme="minorHAnsi"/>
                <w:color w:val="1F3864" w:themeColor="accent1" w:themeShade="80"/>
                <w:sz w:val="22"/>
                <w:szCs w:val="22"/>
              </w:rPr>
              <w:t>Sikkink</w:t>
            </w:r>
            <w:proofErr w:type="spellEnd"/>
            <w:r w:rsidRPr="00132F2C">
              <w:rPr>
                <w:rFonts w:asciiTheme="minorHAnsi" w:hAnsiTheme="minorHAnsi" w:cstheme="minorHAnsi"/>
                <w:color w:val="1F3864" w:themeColor="accent1" w:themeShade="80"/>
                <w:sz w:val="22"/>
                <w:szCs w:val="22"/>
              </w:rPr>
              <w:t xml:space="preserve"> (1998) show how transnational advocacy networks shape agendas. IUCN and UNESCO use communications to mobilise </w:t>
            </w:r>
            <w:r w:rsidRPr="00132F2C">
              <w:rPr>
                <w:rFonts w:asciiTheme="minorHAnsi" w:hAnsiTheme="minorHAnsi" w:cstheme="minorHAnsi"/>
                <w:color w:val="1F3864" w:themeColor="accent1" w:themeShade="80"/>
                <w:sz w:val="22"/>
                <w:szCs w:val="22"/>
              </w:rPr>
              <w:lastRenderedPageBreak/>
              <w:t>public and political support.</w:t>
            </w:r>
          </w:p>
        </w:tc>
        <w:tc>
          <w:tcPr>
            <w:tcW w:w="0" w:type="auto"/>
            <w:hideMark/>
          </w:tcPr>
          <w:p w14:paraId="6B0F7F6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Awareness campaigns, policy briefs, media outreach</w:t>
            </w:r>
          </w:p>
        </w:tc>
        <w:tc>
          <w:tcPr>
            <w:tcW w:w="0" w:type="auto"/>
            <w:hideMark/>
          </w:tcPr>
          <w:p w14:paraId="4C97FDC4"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Builds momentum for policy change and public engagement.</w:t>
            </w:r>
          </w:p>
        </w:tc>
        <w:tc>
          <w:tcPr>
            <w:tcW w:w="0" w:type="auto"/>
            <w:hideMark/>
          </w:tcPr>
          <w:p w14:paraId="7DEF369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Message dilution, politicisation of narratives.</w:t>
            </w:r>
          </w:p>
        </w:tc>
      </w:tr>
      <w:tr w:rsidR="00132F2C" w:rsidRPr="00132F2C" w14:paraId="246C49E5" w14:textId="77777777" w:rsidTr="00132F2C">
        <w:tc>
          <w:tcPr>
            <w:tcW w:w="0" w:type="auto"/>
            <w:hideMark/>
          </w:tcPr>
          <w:p w14:paraId="674ABC8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lastRenderedPageBreak/>
              <w:t>Cross</w:t>
            </w:r>
            <w:r w:rsidRPr="00132F2C">
              <w:rPr>
                <w:rFonts w:asciiTheme="minorHAnsi" w:hAnsiTheme="minorHAnsi" w:cstheme="minorHAnsi"/>
                <w:b/>
                <w:bCs/>
                <w:color w:val="1F3864" w:themeColor="accent1" w:themeShade="80"/>
                <w:sz w:val="22"/>
                <w:szCs w:val="22"/>
              </w:rPr>
              <w:noBreakHyphen/>
              <w:t>border Initiatives</w:t>
            </w:r>
          </w:p>
        </w:tc>
        <w:tc>
          <w:tcPr>
            <w:tcW w:w="0" w:type="auto"/>
            <w:hideMark/>
          </w:tcPr>
          <w:p w14:paraId="39305560" w14:textId="77777777" w:rsidR="00132F2C" w:rsidRPr="00132F2C" w:rsidRDefault="00132F2C" w:rsidP="00132F2C">
            <w:pPr>
              <w:rPr>
                <w:rFonts w:asciiTheme="minorHAnsi" w:hAnsiTheme="minorHAnsi" w:cstheme="minorHAnsi"/>
                <w:color w:val="1F3864" w:themeColor="accent1" w:themeShade="80"/>
                <w:sz w:val="22"/>
                <w:szCs w:val="22"/>
              </w:rPr>
            </w:pPr>
            <w:hyperlink r:id="rId227" w:history="1">
              <w:r w:rsidRPr="00132F2C">
                <w:rPr>
                  <w:rStyle w:val="Hyperlink"/>
                  <w:rFonts w:asciiTheme="minorHAnsi" w:hAnsiTheme="minorHAnsi" w:cstheme="minorHAnsi"/>
                  <w:color w:val="023160" w:themeColor="hyperlink" w:themeShade="80"/>
                  <w:sz w:val="22"/>
                  <w:szCs w:val="22"/>
                </w:rPr>
                <w:t>Young (2002)</w:t>
              </w:r>
            </w:hyperlink>
            <w:r w:rsidRPr="00132F2C">
              <w:rPr>
                <w:rFonts w:asciiTheme="minorHAnsi" w:hAnsiTheme="minorHAnsi" w:cstheme="minorHAnsi"/>
                <w:color w:val="1F3864" w:themeColor="accent1" w:themeShade="80"/>
                <w:sz w:val="22"/>
                <w:szCs w:val="22"/>
              </w:rPr>
              <w:t xml:space="preserve">; </w:t>
            </w:r>
            <w:hyperlink r:id="rId228" w:history="1">
              <w:r w:rsidRPr="00132F2C">
                <w:rPr>
                  <w:rStyle w:val="Hyperlink"/>
                  <w:rFonts w:asciiTheme="minorHAnsi" w:hAnsiTheme="minorHAnsi" w:cstheme="minorHAnsi"/>
                  <w:color w:val="023160" w:themeColor="hyperlink" w:themeShade="80"/>
                  <w:sz w:val="22"/>
                  <w:szCs w:val="22"/>
                </w:rPr>
                <w:t>PEMSEA Transboundary Projects</w:t>
              </w:r>
            </w:hyperlink>
            <w:r w:rsidRPr="00132F2C">
              <w:rPr>
                <w:rFonts w:asciiTheme="minorHAnsi" w:hAnsiTheme="minorHAnsi" w:cstheme="minorHAnsi"/>
                <w:color w:val="1F3864" w:themeColor="accent1" w:themeShade="80"/>
                <w:sz w:val="22"/>
                <w:szCs w:val="22"/>
              </w:rPr>
              <w:t xml:space="preserve">; </w:t>
            </w:r>
            <w:hyperlink r:id="rId229" w:history="1">
              <w:r w:rsidRPr="00132F2C">
                <w:rPr>
                  <w:rStyle w:val="Hyperlink"/>
                  <w:rFonts w:asciiTheme="minorHAnsi" w:hAnsiTheme="minorHAnsi" w:cstheme="minorHAnsi"/>
                  <w:color w:val="023160" w:themeColor="hyperlink" w:themeShade="80"/>
                  <w:sz w:val="22"/>
                  <w:szCs w:val="22"/>
                </w:rPr>
                <w:t>Large Marine Ecosystem (LME) Programmes</w:t>
              </w:r>
            </w:hyperlink>
          </w:p>
        </w:tc>
        <w:tc>
          <w:tcPr>
            <w:tcW w:w="0" w:type="auto"/>
            <w:hideMark/>
          </w:tcPr>
          <w:p w14:paraId="0E4809C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Young (2002) frames cross</w:t>
            </w:r>
            <w:r w:rsidRPr="00132F2C">
              <w:rPr>
                <w:rFonts w:asciiTheme="minorHAnsi" w:hAnsiTheme="minorHAnsi" w:cstheme="minorHAnsi"/>
                <w:color w:val="1F3864" w:themeColor="accent1" w:themeShade="80"/>
                <w:sz w:val="22"/>
                <w:szCs w:val="22"/>
              </w:rPr>
              <w:noBreakHyphen/>
              <w:t>border cooperation as vital for managing shared resources. PEMSEA and LME projects address transboundary marine challenges.</w:t>
            </w:r>
          </w:p>
        </w:tc>
        <w:tc>
          <w:tcPr>
            <w:tcW w:w="0" w:type="auto"/>
            <w:hideMark/>
          </w:tcPr>
          <w:p w14:paraId="7CAC298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Bilateral/multilateral agreements, joint patrols</w:t>
            </w:r>
          </w:p>
        </w:tc>
        <w:tc>
          <w:tcPr>
            <w:tcW w:w="0" w:type="auto"/>
            <w:hideMark/>
          </w:tcPr>
          <w:p w14:paraId="73C2F5A3"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Addresses issues beyond single</w:t>
            </w:r>
            <w:r w:rsidRPr="00132F2C">
              <w:rPr>
                <w:rFonts w:asciiTheme="minorHAnsi" w:hAnsiTheme="minorHAnsi" w:cstheme="minorHAnsi"/>
                <w:color w:val="1F3864" w:themeColor="accent1" w:themeShade="80"/>
                <w:sz w:val="22"/>
                <w:szCs w:val="22"/>
              </w:rPr>
              <w:noBreakHyphen/>
              <w:t>state capacity.</w:t>
            </w:r>
          </w:p>
        </w:tc>
        <w:tc>
          <w:tcPr>
            <w:tcW w:w="0" w:type="auto"/>
            <w:hideMark/>
          </w:tcPr>
          <w:p w14:paraId="1956725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Geopolitical tensions, legal incompatibilities.</w:t>
            </w:r>
          </w:p>
        </w:tc>
      </w:tr>
      <w:tr w:rsidR="00132F2C" w:rsidRPr="00132F2C" w14:paraId="4EF84204" w14:textId="77777777" w:rsidTr="00132F2C">
        <w:tc>
          <w:tcPr>
            <w:tcW w:w="0" w:type="auto"/>
            <w:hideMark/>
          </w:tcPr>
          <w:p w14:paraId="695BA01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Peer</w:t>
            </w:r>
            <w:r w:rsidRPr="00132F2C">
              <w:rPr>
                <w:rFonts w:asciiTheme="minorHAnsi" w:hAnsiTheme="minorHAnsi" w:cstheme="minorHAnsi"/>
                <w:b/>
                <w:bCs/>
                <w:color w:val="1F3864" w:themeColor="accent1" w:themeShade="80"/>
                <w:sz w:val="22"/>
                <w:szCs w:val="22"/>
              </w:rPr>
              <w:noBreakHyphen/>
              <w:t>to</w:t>
            </w:r>
            <w:r w:rsidRPr="00132F2C">
              <w:rPr>
                <w:rFonts w:asciiTheme="minorHAnsi" w:hAnsiTheme="minorHAnsi" w:cstheme="minorHAnsi"/>
                <w:b/>
                <w:bCs/>
                <w:color w:val="1F3864" w:themeColor="accent1" w:themeShade="80"/>
                <w:sz w:val="22"/>
                <w:szCs w:val="22"/>
              </w:rPr>
              <w:noBreakHyphen/>
              <w:t>peer Learning Mechanisms</w:t>
            </w:r>
          </w:p>
        </w:tc>
        <w:tc>
          <w:tcPr>
            <w:tcW w:w="0" w:type="auto"/>
            <w:hideMark/>
          </w:tcPr>
          <w:p w14:paraId="7B18B01F" w14:textId="77777777" w:rsidR="00132F2C" w:rsidRPr="00132F2C" w:rsidRDefault="00132F2C" w:rsidP="00132F2C">
            <w:pPr>
              <w:rPr>
                <w:rFonts w:asciiTheme="minorHAnsi" w:hAnsiTheme="minorHAnsi" w:cstheme="minorHAnsi"/>
                <w:color w:val="1F3864" w:themeColor="accent1" w:themeShade="80"/>
                <w:sz w:val="22"/>
                <w:szCs w:val="22"/>
              </w:rPr>
            </w:pPr>
            <w:hyperlink r:id="rId230" w:history="1">
              <w:r w:rsidRPr="00132F2C">
                <w:rPr>
                  <w:rStyle w:val="Hyperlink"/>
                  <w:rFonts w:asciiTheme="minorHAnsi" w:hAnsiTheme="minorHAnsi" w:cstheme="minorHAnsi"/>
                  <w:color w:val="023160" w:themeColor="hyperlink" w:themeShade="80"/>
                  <w:sz w:val="22"/>
                  <w:szCs w:val="22"/>
                </w:rPr>
                <w:t>Ostrom (2010)</w:t>
              </w:r>
            </w:hyperlink>
            <w:r w:rsidRPr="00132F2C">
              <w:rPr>
                <w:rFonts w:asciiTheme="minorHAnsi" w:hAnsiTheme="minorHAnsi" w:cstheme="minorHAnsi"/>
                <w:color w:val="1F3864" w:themeColor="accent1" w:themeShade="80"/>
                <w:sz w:val="22"/>
                <w:szCs w:val="22"/>
              </w:rPr>
              <w:t xml:space="preserve">; </w:t>
            </w:r>
            <w:hyperlink r:id="rId231" w:history="1">
              <w:r w:rsidRPr="00132F2C">
                <w:rPr>
                  <w:rStyle w:val="Hyperlink"/>
                  <w:rFonts w:asciiTheme="minorHAnsi" w:hAnsiTheme="minorHAnsi" w:cstheme="minorHAnsi"/>
                  <w:color w:val="023160" w:themeColor="hyperlink" w:themeShade="80"/>
                  <w:sz w:val="22"/>
                  <w:szCs w:val="22"/>
                </w:rPr>
                <w:t>FAO–South</w:t>
              </w:r>
              <w:r w:rsidRPr="00132F2C">
                <w:rPr>
                  <w:rStyle w:val="Hyperlink"/>
                  <w:rFonts w:asciiTheme="minorHAnsi" w:hAnsiTheme="minorHAnsi" w:cstheme="minorHAnsi"/>
                  <w:color w:val="023160" w:themeColor="hyperlink" w:themeShade="80"/>
                  <w:sz w:val="22"/>
                  <w:szCs w:val="22"/>
                </w:rPr>
                <w:noBreakHyphen/>
                <w:t>South Cooperation Reports</w:t>
              </w:r>
            </w:hyperlink>
            <w:r w:rsidRPr="00132F2C">
              <w:rPr>
                <w:rFonts w:asciiTheme="minorHAnsi" w:hAnsiTheme="minorHAnsi" w:cstheme="minorHAnsi"/>
                <w:color w:val="1F3864" w:themeColor="accent1" w:themeShade="80"/>
                <w:sz w:val="22"/>
                <w:szCs w:val="22"/>
              </w:rPr>
              <w:t xml:space="preserve">; </w:t>
            </w:r>
            <w:hyperlink r:id="rId232" w:history="1">
              <w:r w:rsidRPr="00132F2C">
                <w:rPr>
                  <w:rStyle w:val="Hyperlink"/>
                  <w:rFonts w:asciiTheme="minorHAnsi" w:hAnsiTheme="minorHAnsi" w:cstheme="minorHAnsi"/>
                  <w:color w:val="023160" w:themeColor="hyperlink" w:themeShade="80"/>
                  <w:sz w:val="22"/>
                  <w:szCs w:val="22"/>
                </w:rPr>
                <w:t>Regional Seas Experience</w:t>
              </w:r>
              <w:r w:rsidRPr="00132F2C">
                <w:rPr>
                  <w:rStyle w:val="Hyperlink"/>
                  <w:rFonts w:asciiTheme="minorHAnsi" w:hAnsiTheme="minorHAnsi" w:cstheme="minorHAnsi"/>
                  <w:color w:val="023160" w:themeColor="hyperlink" w:themeShade="80"/>
                  <w:sz w:val="22"/>
                  <w:szCs w:val="22"/>
                </w:rPr>
                <w:noBreakHyphen/>
                <w:t>sharing Platforms</w:t>
              </w:r>
            </w:hyperlink>
          </w:p>
        </w:tc>
        <w:tc>
          <w:tcPr>
            <w:tcW w:w="0" w:type="auto"/>
            <w:hideMark/>
          </w:tcPr>
          <w:p w14:paraId="7D29907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Ostrom (2010) emphasises mutual learning in polycentric systems. FAO and Regional Seas organise exchanges for institutional capacity building.</w:t>
            </w:r>
          </w:p>
        </w:tc>
        <w:tc>
          <w:tcPr>
            <w:tcW w:w="0" w:type="auto"/>
            <w:hideMark/>
          </w:tcPr>
          <w:p w14:paraId="3E97309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Twinning arrangements, exchange visits</w:t>
            </w:r>
          </w:p>
        </w:tc>
        <w:tc>
          <w:tcPr>
            <w:tcW w:w="0" w:type="auto"/>
            <w:hideMark/>
          </w:tcPr>
          <w:p w14:paraId="492F0BB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Diffuses best practice horizontally among peers.</w:t>
            </w:r>
          </w:p>
        </w:tc>
        <w:tc>
          <w:tcPr>
            <w:tcW w:w="0" w:type="auto"/>
            <w:hideMark/>
          </w:tcPr>
          <w:p w14:paraId="2CE1013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Unequal resources to participate, variable applicability of lessons.</w:t>
            </w:r>
          </w:p>
        </w:tc>
      </w:tr>
    </w:tbl>
    <w:p w14:paraId="0EF88E5F" w14:textId="77777777" w:rsidR="00132F2C" w:rsidRDefault="00132F2C" w:rsidP="005C63E7">
      <w:pPr>
        <w:rPr>
          <w:rFonts w:asciiTheme="minorHAnsi" w:hAnsiTheme="minorHAnsi" w:cstheme="minorHAnsi"/>
          <w:color w:val="1F3864" w:themeColor="accent1" w:themeShade="80"/>
          <w:sz w:val="22"/>
          <w:szCs w:val="22"/>
        </w:rPr>
      </w:pPr>
    </w:p>
    <w:p w14:paraId="27592DBF" w14:textId="77777777" w:rsidR="00132F2C" w:rsidRDefault="00132F2C" w:rsidP="005C63E7">
      <w:pPr>
        <w:rPr>
          <w:rFonts w:asciiTheme="minorHAnsi" w:hAnsiTheme="minorHAnsi" w:cstheme="minorHAnsi"/>
          <w:color w:val="1F3864" w:themeColor="accent1" w:themeShade="80"/>
          <w:sz w:val="22"/>
          <w:szCs w:val="22"/>
        </w:rPr>
      </w:pPr>
    </w:p>
    <w:p w14:paraId="568E97A2" w14:textId="77777777" w:rsidR="005C63E7" w:rsidRPr="006E2E54" w:rsidRDefault="005C63E7" w:rsidP="005C63E7">
      <w:pPr>
        <w:rPr>
          <w:rFonts w:asciiTheme="minorHAnsi" w:hAnsiTheme="minorHAnsi" w:cstheme="minorHAnsi"/>
          <w:color w:val="1F3864" w:themeColor="accent1" w:themeShade="80"/>
          <w:sz w:val="22"/>
          <w:szCs w:val="22"/>
        </w:rPr>
      </w:pPr>
    </w:p>
    <w:p w14:paraId="375C0B5A" w14:textId="77777777" w:rsidR="005C63E7" w:rsidRPr="006E2E54" w:rsidRDefault="005C63E7" w:rsidP="005C63E7">
      <w:pPr>
        <w:rPr>
          <w:rFonts w:asciiTheme="minorHAnsi" w:hAnsiTheme="minorHAnsi" w:cstheme="minorHAnsi"/>
          <w:color w:val="1F3864" w:themeColor="accent1" w:themeShade="80"/>
          <w:sz w:val="22"/>
          <w:szCs w:val="22"/>
        </w:rPr>
      </w:pPr>
    </w:p>
    <w:p w14:paraId="612C4BF1" w14:textId="77777777" w:rsidR="005C63E7" w:rsidRPr="006E2E54" w:rsidRDefault="005C63E7" w:rsidP="005C63E7">
      <w:pPr>
        <w:rPr>
          <w:rFonts w:asciiTheme="minorHAnsi" w:hAnsiTheme="minorHAnsi" w:cstheme="minorHAnsi"/>
          <w:color w:val="1F3864" w:themeColor="accent1" w:themeShade="80"/>
          <w:sz w:val="22"/>
          <w:szCs w:val="22"/>
        </w:rPr>
      </w:pPr>
    </w:p>
    <w:p w14:paraId="10091A37" w14:textId="77777777" w:rsidR="00EF2BA0" w:rsidRDefault="00EF2BA0"/>
    <w:sectPr w:rsidR="00EF2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317A3"/>
    <w:multiLevelType w:val="multilevel"/>
    <w:tmpl w:val="1D16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071C"/>
    <w:multiLevelType w:val="multilevel"/>
    <w:tmpl w:val="D0E2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646E3"/>
    <w:multiLevelType w:val="multilevel"/>
    <w:tmpl w:val="718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D6002"/>
    <w:multiLevelType w:val="multilevel"/>
    <w:tmpl w:val="E282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94237"/>
    <w:multiLevelType w:val="multilevel"/>
    <w:tmpl w:val="D74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73F10"/>
    <w:multiLevelType w:val="multilevel"/>
    <w:tmpl w:val="31B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8509C"/>
    <w:multiLevelType w:val="multilevel"/>
    <w:tmpl w:val="7FA8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B2D3E"/>
    <w:multiLevelType w:val="multilevel"/>
    <w:tmpl w:val="98F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360E3"/>
    <w:multiLevelType w:val="multilevel"/>
    <w:tmpl w:val="5FE8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62C62"/>
    <w:multiLevelType w:val="multilevel"/>
    <w:tmpl w:val="DFD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E3273"/>
    <w:multiLevelType w:val="multilevel"/>
    <w:tmpl w:val="420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542CA"/>
    <w:multiLevelType w:val="multilevel"/>
    <w:tmpl w:val="074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B39D4"/>
    <w:multiLevelType w:val="multilevel"/>
    <w:tmpl w:val="543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416724">
    <w:abstractNumId w:val="3"/>
  </w:num>
  <w:num w:numId="2" w16cid:durableId="1188104420">
    <w:abstractNumId w:val="10"/>
  </w:num>
  <w:num w:numId="3" w16cid:durableId="488833281">
    <w:abstractNumId w:val="4"/>
  </w:num>
  <w:num w:numId="4" w16cid:durableId="1170096709">
    <w:abstractNumId w:val="6"/>
  </w:num>
  <w:num w:numId="5" w16cid:durableId="1123769579">
    <w:abstractNumId w:val="5"/>
  </w:num>
  <w:num w:numId="6" w16cid:durableId="353730088">
    <w:abstractNumId w:val="12"/>
  </w:num>
  <w:num w:numId="7" w16cid:durableId="102040011">
    <w:abstractNumId w:val="1"/>
  </w:num>
  <w:num w:numId="8" w16cid:durableId="1748914928">
    <w:abstractNumId w:val="8"/>
  </w:num>
  <w:num w:numId="9" w16cid:durableId="174081657">
    <w:abstractNumId w:val="2"/>
  </w:num>
  <w:num w:numId="10" w16cid:durableId="1560164450">
    <w:abstractNumId w:val="0"/>
  </w:num>
  <w:num w:numId="11" w16cid:durableId="1718890036">
    <w:abstractNumId w:val="9"/>
  </w:num>
  <w:num w:numId="12" w16cid:durableId="674571832">
    <w:abstractNumId w:val="11"/>
  </w:num>
  <w:num w:numId="13" w16cid:durableId="6957323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3E7"/>
    <w:rsid w:val="0006741B"/>
    <w:rsid w:val="000E2582"/>
    <w:rsid w:val="00101B62"/>
    <w:rsid w:val="00132F2C"/>
    <w:rsid w:val="001B7A54"/>
    <w:rsid w:val="00314372"/>
    <w:rsid w:val="003316CC"/>
    <w:rsid w:val="00375DAC"/>
    <w:rsid w:val="003B3213"/>
    <w:rsid w:val="00405A1B"/>
    <w:rsid w:val="0049727D"/>
    <w:rsid w:val="00507DCC"/>
    <w:rsid w:val="005C63E7"/>
    <w:rsid w:val="00633E7B"/>
    <w:rsid w:val="00642018"/>
    <w:rsid w:val="006F01E7"/>
    <w:rsid w:val="00846207"/>
    <w:rsid w:val="00BE3D82"/>
    <w:rsid w:val="00C45D20"/>
    <w:rsid w:val="00CA5B96"/>
    <w:rsid w:val="00DA684B"/>
    <w:rsid w:val="00DB0726"/>
    <w:rsid w:val="00E4681A"/>
    <w:rsid w:val="00EF2B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1BFD"/>
  <w15:chartTrackingRefBased/>
  <w15:docId w15:val="{F134C5EB-9A79-E849-9B51-41149FCE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3E7"/>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C6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6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3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3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3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3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6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3E7"/>
    <w:rPr>
      <w:rFonts w:eastAsiaTheme="majorEastAsia" w:cstheme="majorBidi"/>
      <w:color w:val="272727" w:themeColor="text1" w:themeTint="D8"/>
    </w:rPr>
  </w:style>
  <w:style w:type="paragraph" w:styleId="Title">
    <w:name w:val="Title"/>
    <w:basedOn w:val="Normal"/>
    <w:next w:val="Normal"/>
    <w:link w:val="TitleChar"/>
    <w:uiPriority w:val="10"/>
    <w:qFormat/>
    <w:rsid w:val="005C6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3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63E7"/>
    <w:rPr>
      <w:i/>
      <w:iCs/>
      <w:color w:val="404040" w:themeColor="text1" w:themeTint="BF"/>
    </w:rPr>
  </w:style>
  <w:style w:type="paragraph" w:styleId="ListParagraph">
    <w:name w:val="List Paragraph"/>
    <w:basedOn w:val="Normal"/>
    <w:uiPriority w:val="34"/>
    <w:qFormat/>
    <w:rsid w:val="005C63E7"/>
    <w:pPr>
      <w:ind w:left="720"/>
      <w:contextualSpacing/>
    </w:pPr>
  </w:style>
  <w:style w:type="character" w:styleId="IntenseEmphasis">
    <w:name w:val="Intense Emphasis"/>
    <w:basedOn w:val="DefaultParagraphFont"/>
    <w:uiPriority w:val="21"/>
    <w:qFormat/>
    <w:rsid w:val="005C63E7"/>
    <w:rPr>
      <w:i/>
      <w:iCs/>
      <w:color w:val="2F5496" w:themeColor="accent1" w:themeShade="BF"/>
    </w:rPr>
  </w:style>
  <w:style w:type="paragraph" w:styleId="IntenseQuote">
    <w:name w:val="Intense Quote"/>
    <w:basedOn w:val="Normal"/>
    <w:next w:val="Normal"/>
    <w:link w:val="IntenseQuoteChar"/>
    <w:uiPriority w:val="30"/>
    <w:qFormat/>
    <w:rsid w:val="005C6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3E7"/>
    <w:rPr>
      <w:i/>
      <w:iCs/>
      <w:color w:val="2F5496" w:themeColor="accent1" w:themeShade="BF"/>
    </w:rPr>
  </w:style>
  <w:style w:type="character" w:styleId="IntenseReference">
    <w:name w:val="Intense Reference"/>
    <w:basedOn w:val="DefaultParagraphFont"/>
    <w:uiPriority w:val="32"/>
    <w:qFormat/>
    <w:rsid w:val="005C63E7"/>
    <w:rPr>
      <w:b/>
      <w:bCs/>
      <w:smallCaps/>
      <w:color w:val="2F5496" w:themeColor="accent1" w:themeShade="BF"/>
      <w:spacing w:val="5"/>
    </w:rPr>
  </w:style>
  <w:style w:type="table" w:styleId="TableGrid">
    <w:name w:val="Table Grid"/>
    <w:basedOn w:val="TableNormal"/>
    <w:uiPriority w:val="39"/>
    <w:rsid w:val="005C6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63E7"/>
    <w:rPr>
      <w:b/>
      <w:bCs/>
    </w:rPr>
  </w:style>
  <w:style w:type="character" w:styleId="Hyperlink">
    <w:name w:val="Hyperlink"/>
    <w:basedOn w:val="DefaultParagraphFont"/>
    <w:uiPriority w:val="99"/>
    <w:unhideWhenUsed/>
    <w:rsid w:val="005C63E7"/>
    <w:rPr>
      <w:color w:val="0563C1" w:themeColor="hyperlink"/>
      <w:u w:val="single"/>
    </w:rPr>
  </w:style>
  <w:style w:type="character" w:styleId="UnresolvedMention">
    <w:name w:val="Unresolved Mention"/>
    <w:basedOn w:val="DefaultParagraphFont"/>
    <w:uiPriority w:val="99"/>
    <w:semiHidden/>
    <w:unhideWhenUsed/>
    <w:rsid w:val="005C63E7"/>
    <w:rPr>
      <w:color w:val="605E5C"/>
      <w:shd w:val="clear" w:color="auto" w:fill="E1DFDD"/>
    </w:rPr>
  </w:style>
  <w:style w:type="paragraph" w:styleId="NormalWeb">
    <w:name w:val="Normal (Web)"/>
    <w:basedOn w:val="Normal"/>
    <w:uiPriority w:val="99"/>
    <w:semiHidden/>
    <w:unhideWhenUsed/>
    <w:rsid w:val="005C63E7"/>
  </w:style>
  <w:style w:type="character" w:styleId="FollowedHyperlink">
    <w:name w:val="FollowedHyperlink"/>
    <w:basedOn w:val="DefaultParagraphFont"/>
    <w:uiPriority w:val="99"/>
    <w:semiHidden/>
    <w:unhideWhenUsed/>
    <w:rsid w:val="00633E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39315">
      <w:bodyDiv w:val="1"/>
      <w:marLeft w:val="0"/>
      <w:marRight w:val="0"/>
      <w:marTop w:val="0"/>
      <w:marBottom w:val="0"/>
      <w:divBdr>
        <w:top w:val="none" w:sz="0" w:space="0" w:color="auto"/>
        <w:left w:val="none" w:sz="0" w:space="0" w:color="auto"/>
        <w:bottom w:val="none" w:sz="0" w:space="0" w:color="auto"/>
        <w:right w:val="none" w:sz="0" w:space="0" w:color="auto"/>
      </w:divBdr>
    </w:div>
    <w:div w:id="62532119">
      <w:bodyDiv w:val="1"/>
      <w:marLeft w:val="0"/>
      <w:marRight w:val="0"/>
      <w:marTop w:val="0"/>
      <w:marBottom w:val="0"/>
      <w:divBdr>
        <w:top w:val="none" w:sz="0" w:space="0" w:color="auto"/>
        <w:left w:val="none" w:sz="0" w:space="0" w:color="auto"/>
        <w:bottom w:val="none" w:sz="0" w:space="0" w:color="auto"/>
        <w:right w:val="none" w:sz="0" w:space="0" w:color="auto"/>
      </w:divBdr>
    </w:div>
    <w:div w:id="78139632">
      <w:bodyDiv w:val="1"/>
      <w:marLeft w:val="0"/>
      <w:marRight w:val="0"/>
      <w:marTop w:val="0"/>
      <w:marBottom w:val="0"/>
      <w:divBdr>
        <w:top w:val="none" w:sz="0" w:space="0" w:color="auto"/>
        <w:left w:val="none" w:sz="0" w:space="0" w:color="auto"/>
        <w:bottom w:val="none" w:sz="0" w:space="0" w:color="auto"/>
        <w:right w:val="none" w:sz="0" w:space="0" w:color="auto"/>
      </w:divBdr>
    </w:div>
    <w:div w:id="133377587">
      <w:bodyDiv w:val="1"/>
      <w:marLeft w:val="0"/>
      <w:marRight w:val="0"/>
      <w:marTop w:val="0"/>
      <w:marBottom w:val="0"/>
      <w:divBdr>
        <w:top w:val="none" w:sz="0" w:space="0" w:color="auto"/>
        <w:left w:val="none" w:sz="0" w:space="0" w:color="auto"/>
        <w:bottom w:val="none" w:sz="0" w:space="0" w:color="auto"/>
        <w:right w:val="none" w:sz="0" w:space="0" w:color="auto"/>
      </w:divBdr>
    </w:div>
    <w:div w:id="174616290">
      <w:bodyDiv w:val="1"/>
      <w:marLeft w:val="0"/>
      <w:marRight w:val="0"/>
      <w:marTop w:val="0"/>
      <w:marBottom w:val="0"/>
      <w:divBdr>
        <w:top w:val="none" w:sz="0" w:space="0" w:color="auto"/>
        <w:left w:val="none" w:sz="0" w:space="0" w:color="auto"/>
        <w:bottom w:val="none" w:sz="0" w:space="0" w:color="auto"/>
        <w:right w:val="none" w:sz="0" w:space="0" w:color="auto"/>
      </w:divBdr>
    </w:div>
    <w:div w:id="228463713">
      <w:bodyDiv w:val="1"/>
      <w:marLeft w:val="0"/>
      <w:marRight w:val="0"/>
      <w:marTop w:val="0"/>
      <w:marBottom w:val="0"/>
      <w:divBdr>
        <w:top w:val="none" w:sz="0" w:space="0" w:color="auto"/>
        <w:left w:val="none" w:sz="0" w:space="0" w:color="auto"/>
        <w:bottom w:val="none" w:sz="0" w:space="0" w:color="auto"/>
        <w:right w:val="none" w:sz="0" w:space="0" w:color="auto"/>
      </w:divBdr>
    </w:div>
    <w:div w:id="239797949">
      <w:bodyDiv w:val="1"/>
      <w:marLeft w:val="0"/>
      <w:marRight w:val="0"/>
      <w:marTop w:val="0"/>
      <w:marBottom w:val="0"/>
      <w:divBdr>
        <w:top w:val="none" w:sz="0" w:space="0" w:color="auto"/>
        <w:left w:val="none" w:sz="0" w:space="0" w:color="auto"/>
        <w:bottom w:val="none" w:sz="0" w:space="0" w:color="auto"/>
        <w:right w:val="none" w:sz="0" w:space="0" w:color="auto"/>
      </w:divBdr>
    </w:div>
    <w:div w:id="290986143">
      <w:bodyDiv w:val="1"/>
      <w:marLeft w:val="0"/>
      <w:marRight w:val="0"/>
      <w:marTop w:val="0"/>
      <w:marBottom w:val="0"/>
      <w:divBdr>
        <w:top w:val="none" w:sz="0" w:space="0" w:color="auto"/>
        <w:left w:val="none" w:sz="0" w:space="0" w:color="auto"/>
        <w:bottom w:val="none" w:sz="0" w:space="0" w:color="auto"/>
        <w:right w:val="none" w:sz="0" w:space="0" w:color="auto"/>
      </w:divBdr>
    </w:div>
    <w:div w:id="328217510">
      <w:bodyDiv w:val="1"/>
      <w:marLeft w:val="0"/>
      <w:marRight w:val="0"/>
      <w:marTop w:val="0"/>
      <w:marBottom w:val="0"/>
      <w:divBdr>
        <w:top w:val="none" w:sz="0" w:space="0" w:color="auto"/>
        <w:left w:val="none" w:sz="0" w:space="0" w:color="auto"/>
        <w:bottom w:val="none" w:sz="0" w:space="0" w:color="auto"/>
        <w:right w:val="none" w:sz="0" w:space="0" w:color="auto"/>
      </w:divBdr>
    </w:div>
    <w:div w:id="387072256">
      <w:bodyDiv w:val="1"/>
      <w:marLeft w:val="0"/>
      <w:marRight w:val="0"/>
      <w:marTop w:val="0"/>
      <w:marBottom w:val="0"/>
      <w:divBdr>
        <w:top w:val="none" w:sz="0" w:space="0" w:color="auto"/>
        <w:left w:val="none" w:sz="0" w:space="0" w:color="auto"/>
        <w:bottom w:val="none" w:sz="0" w:space="0" w:color="auto"/>
        <w:right w:val="none" w:sz="0" w:space="0" w:color="auto"/>
      </w:divBdr>
    </w:div>
    <w:div w:id="495148178">
      <w:bodyDiv w:val="1"/>
      <w:marLeft w:val="0"/>
      <w:marRight w:val="0"/>
      <w:marTop w:val="0"/>
      <w:marBottom w:val="0"/>
      <w:divBdr>
        <w:top w:val="none" w:sz="0" w:space="0" w:color="auto"/>
        <w:left w:val="none" w:sz="0" w:space="0" w:color="auto"/>
        <w:bottom w:val="none" w:sz="0" w:space="0" w:color="auto"/>
        <w:right w:val="none" w:sz="0" w:space="0" w:color="auto"/>
      </w:divBdr>
    </w:div>
    <w:div w:id="522208040">
      <w:bodyDiv w:val="1"/>
      <w:marLeft w:val="0"/>
      <w:marRight w:val="0"/>
      <w:marTop w:val="0"/>
      <w:marBottom w:val="0"/>
      <w:divBdr>
        <w:top w:val="none" w:sz="0" w:space="0" w:color="auto"/>
        <w:left w:val="none" w:sz="0" w:space="0" w:color="auto"/>
        <w:bottom w:val="none" w:sz="0" w:space="0" w:color="auto"/>
        <w:right w:val="none" w:sz="0" w:space="0" w:color="auto"/>
      </w:divBdr>
    </w:div>
    <w:div w:id="608782333">
      <w:bodyDiv w:val="1"/>
      <w:marLeft w:val="0"/>
      <w:marRight w:val="0"/>
      <w:marTop w:val="0"/>
      <w:marBottom w:val="0"/>
      <w:divBdr>
        <w:top w:val="none" w:sz="0" w:space="0" w:color="auto"/>
        <w:left w:val="none" w:sz="0" w:space="0" w:color="auto"/>
        <w:bottom w:val="none" w:sz="0" w:space="0" w:color="auto"/>
        <w:right w:val="none" w:sz="0" w:space="0" w:color="auto"/>
      </w:divBdr>
    </w:div>
    <w:div w:id="613950670">
      <w:bodyDiv w:val="1"/>
      <w:marLeft w:val="0"/>
      <w:marRight w:val="0"/>
      <w:marTop w:val="0"/>
      <w:marBottom w:val="0"/>
      <w:divBdr>
        <w:top w:val="none" w:sz="0" w:space="0" w:color="auto"/>
        <w:left w:val="none" w:sz="0" w:space="0" w:color="auto"/>
        <w:bottom w:val="none" w:sz="0" w:space="0" w:color="auto"/>
        <w:right w:val="none" w:sz="0" w:space="0" w:color="auto"/>
      </w:divBdr>
    </w:div>
    <w:div w:id="680205249">
      <w:bodyDiv w:val="1"/>
      <w:marLeft w:val="0"/>
      <w:marRight w:val="0"/>
      <w:marTop w:val="0"/>
      <w:marBottom w:val="0"/>
      <w:divBdr>
        <w:top w:val="none" w:sz="0" w:space="0" w:color="auto"/>
        <w:left w:val="none" w:sz="0" w:space="0" w:color="auto"/>
        <w:bottom w:val="none" w:sz="0" w:space="0" w:color="auto"/>
        <w:right w:val="none" w:sz="0" w:space="0" w:color="auto"/>
      </w:divBdr>
    </w:div>
    <w:div w:id="726338127">
      <w:bodyDiv w:val="1"/>
      <w:marLeft w:val="0"/>
      <w:marRight w:val="0"/>
      <w:marTop w:val="0"/>
      <w:marBottom w:val="0"/>
      <w:divBdr>
        <w:top w:val="none" w:sz="0" w:space="0" w:color="auto"/>
        <w:left w:val="none" w:sz="0" w:space="0" w:color="auto"/>
        <w:bottom w:val="none" w:sz="0" w:space="0" w:color="auto"/>
        <w:right w:val="none" w:sz="0" w:space="0" w:color="auto"/>
      </w:divBdr>
    </w:div>
    <w:div w:id="730346692">
      <w:bodyDiv w:val="1"/>
      <w:marLeft w:val="0"/>
      <w:marRight w:val="0"/>
      <w:marTop w:val="0"/>
      <w:marBottom w:val="0"/>
      <w:divBdr>
        <w:top w:val="none" w:sz="0" w:space="0" w:color="auto"/>
        <w:left w:val="none" w:sz="0" w:space="0" w:color="auto"/>
        <w:bottom w:val="none" w:sz="0" w:space="0" w:color="auto"/>
        <w:right w:val="none" w:sz="0" w:space="0" w:color="auto"/>
      </w:divBdr>
    </w:div>
    <w:div w:id="746195322">
      <w:bodyDiv w:val="1"/>
      <w:marLeft w:val="0"/>
      <w:marRight w:val="0"/>
      <w:marTop w:val="0"/>
      <w:marBottom w:val="0"/>
      <w:divBdr>
        <w:top w:val="none" w:sz="0" w:space="0" w:color="auto"/>
        <w:left w:val="none" w:sz="0" w:space="0" w:color="auto"/>
        <w:bottom w:val="none" w:sz="0" w:space="0" w:color="auto"/>
        <w:right w:val="none" w:sz="0" w:space="0" w:color="auto"/>
      </w:divBdr>
    </w:div>
    <w:div w:id="825438720">
      <w:bodyDiv w:val="1"/>
      <w:marLeft w:val="0"/>
      <w:marRight w:val="0"/>
      <w:marTop w:val="0"/>
      <w:marBottom w:val="0"/>
      <w:divBdr>
        <w:top w:val="none" w:sz="0" w:space="0" w:color="auto"/>
        <w:left w:val="none" w:sz="0" w:space="0" w:color="auto"/>
        <w:bottom w:val="none" w:sz="0" w:space="0" w:color="auto"/>
        <w:right w:val="none" w:sz="0" w:space="0" w:color="auto"/>
      </w:divBdr>
    </w:div>
    <w:div w:id="898327163">
      <w:bodyDiv w:val="1"/>
      <w:marLeft w:val="0"/>
      <w:marRight w:val="0"/>
      <w:marTop w:val="0"/>
      <w:marBottom w:val="0"/>
      <w:divBdr>
        <w:top w:val="none" w:sz="0" w:space="0" w:color="auto"/>
        <w:left w:val="none" w:sz="0" w:space="0" w:color="auto"/>
        <w:bottom w:val="none" w:sz="0" w:space="0" w:color="auto"/>
        <w:right w:val="none" w:sz="0" w:space="0" w:color="auto"/>
      </w:divBdr>
    </w:div>
    <w:div w:id="907692491">
      <w:bodyDiv w:val="1"/>
      <w:marLeft w:val="0"/>
      <w:marRight w:val="0"/>
      <w:marTop w:val="0"/>
      <w:marBottom w:val="0"/>
      <w:divBdr>
        <w:top w:val="none" w:sz="0" w:space="0" w:color="auto"/>
        <w:left w:val="none" w:sz="0" w:space="0" w:color="auto"/>
        <w:bottom w:val="none" w:sz="0" w:space="0" w:color="auto"/>
        <w:right w:val="none" w:sz="0" w:space="0" w:color="auto"/>
      </w:divBdr>
    </w:div>
    <w:div w:id="925770633">
      <w:bodyDiv w:val="1"/>
      <w:marLeft w:val="0"/>
      <w:marRight w:val="0"/>
      <w:marTop w:val="0"/>
      <w:marBottom w:val="0"/>
      <w:divBdr>
        <w:top w:val="none" w:sz="0" w:space="0" w:color="auto"/>
        <w:left w:val="none" w:sz="0" w:space="0" w:color="auto"/>
        <w:bottom w:val="none" w:sz="0" w:space="0" w:color="auto"/>
        <w:right w:val="none" w:sz="0" w:space="0" w:color="auto"/>
      </w:divBdr>
    </w:div>
    <w:div w:id="955674750">
      <w:bodyDiv w:val="1"/>
      <w:marLeft w:val="0"/>
      <w:marRight w:val="0"/>
      <w:marTop w:val="0"/>
      <w:marBottom w:val="0"/>
      <w:divBdr>
        <w:top w:val="none" w:sz="0" w:space="0" w:color="auto"/>
        <w:left w:val="none" w:sz="0" w:space="0" w:color="auto"/>
        <w:bottom w:val="none" w:sz="0" w:space="0" w:color="auto"/>
        <w:right w:val="none" w:sz="0" w:space="0" w:color="auto"/>
      </w:divBdr>
    </w:div>
    <w:div w:id="1058816927">
      <w:bodyDiv w:val="1"/>
      <w:marLeft w:val="0"/>
      <w:marRight w:val="0"/>
      <w:marTop w:val="0"/>
      <w:marBottom w:val="0"/>
      <w:divBdr>
        <w:top w:val="none" w:sz="0" w:space="0" w:color="auto"/>
        <w:left w:val="none" w:sz="0" w:space="0" w:color="auto"/>
        <w:bottom w:val="none" w:sz="0" w:space="0" w:color="auto"/>
        <w:right w:val="none" w:sz="0" w:space="0" w:color="auto"/>
      </w:divBdr>
    </w:div>
    <w:div w:id="1066879241">
      <w:bodyDiv w:val="1"/>
      <w:marLeft w:val="0"/>
      <w:marRight w:val="0"/>
      <w:marTop w:val="0"/>
      <w:marBottom w:val="0"/>
      <w:divBdr>
        <w:top w:val="none" w:sz="0" w:space="0" w:color="auto"/>
        <w:left w:val="none" w:sz="0" w:space="0" w:color="auto"/>
        <w:bottom w:val="none" w:sz="0" w:space="0" w:color="auto"/>
        <w:right w:val="none" w:sz="0" w:space="0" w:color="auto"/>
      </w:divBdr>
    </w:div>
    <w:div w:id="1083724501">
      <w:bodyDiv w:val="1"/>
      <w:marLeft w:val="0"/>
      <w:marRight w:val="0"/>
      <w:marTop w:val="0"/>
      <w:marBottom w:val="0"/>
      <w:divBdr>
        <w:top w:val="none" w:sz="0" w:space="0" w:color="auto"/>
        <w:left w:val="none" w:sz="0" w:space="0" w:color="auto"/>
        <w:bottom w:val="none" w:sz="0" w:space="0" w:color="auto"/>
        <w:right w:val="none" w:sz="0" w:space="0" w:color="auto"/>
      </w:divBdr>
    </w:div>
    <w:div w:id="1132482303">
      <w:bodyDiv w:val="1"/>
      <w:marLeft w:val="0"/>
      <w:marRight w:val="0"/>
      <w:marTop w:val="0"/>
      <w:marBottom w:val="0"/>
      <w:divBdr>
        <w:top w:val="none" w:sz="0" w:space="0" w:color="auto"/>
        <w:left w:val="none" w:sz="0" w:space="0" w:color="auto"/>
        <w:bottom w:val="none" w:sz="0" w:space="0" w:color="auto"/>
        <w:right w:val="none" w:sz="0" w:space="0" w:color="auto"/>
      </w:divBdr>
    </w:div>
    <w:div w:id="1180198447">
      <w:bodyDiv w:val="1"/>
      <w:marLeft w:val="0"/>
      <w:marRight w:val="0"/>
      <w:marTop w:val="0"/>
      <w:marBottom w:val="0"/>
      <w:divBdr>
        <w:top w:val="none" w:sz="0" w:space="0" w:color="auto"/>
        <w:left w:val="none" w:sz="0" w:space="0" w:color="auto"/>
        <w:bottom w:val="none" w:sz="0" w:space="0" w:color="auto"/>
        <w:right w:val="none" w:sz="0" w:space="0" w:color="auto"/>
      </w:divBdr>
    </w:div>
    <w:div w:id="1431968071">
      <w:bodyDiv w:val="1"/>
      <w:marLeft w:val="0"/>
      <w:marRight w:val="0"/>
      <w:marTop w:val="0"/>
      <w:marBottom w:val="0"/>
      <w:divBdr>
        <w:top w:val="none" w:sz="0" w:space="0" w:color="auto"/>
        <w:left w:val="none" w:sz="0" w:space="0" w:color="auto"/>
        <w:bottom w:val="none" w:sz="0" w:space="0" w:color="auto"/>
        <w:right w:val="none" w:sz="0" w:space="0" w:color="auto"/>
      </w:divBdr>
    </w:div>
    <w:div w:id="1444156262">
      <w:bodyDiv w:val="1"/>
      <w:marLeft w:val="0"/>
      <w:marRight w:val="0"/>
      <w:marTop w:val="0"/>
      <w:marBottom w:val="0"/>
      <w:divBdr>
        <w:top w:val="none" w:sz="0" w:space="0" w:color="auto"/>
        <w:left w:val="none" w:sz="0" w:space="0" w:color="auto"/>
        <w:bottom w:val="none" w:sz="0" w:space="0" w:color="auto"/>
        <w:right w:val="none" w:sz="0" w:space="0" w:color="auto"/>
      </w:divBdr>
    </w:div>
    <w:div w:id="1455295621">
      <w:bodyDiv w:val="1"/>
      <w:marLeft w:val="0"/>
      <w:marRight w:val="0"/>
      <w:marTop w:val="0"/>
      <w:marBottom w:val="0"/>
      <w:divBdr>
        <w:top w:val="none" w:sz="0" w:space="0" w:color="auto"/>
        <w:left w:val="none" w:sz="0" w:space="0" w:color="auto"/>
        <w:bottom w:val="none" w:sz="0" w:space="0" w:color="auto"/>
        <w:right w:val="none" w:sz="0" w:space="0" w:color="auto"/>
      </w:divBdr>
    </w:div>
    <w:div w:id="1456605692">
      <w:bodyDiv w:val="1"/>
      <w:marLeft w:val="0"/>
      <w:marRight w:val="0"/>
      <w:marTop w:val="0"/>
      <w:marBottom w:val="0"/>
      <w:divBdr>
        <w:top w:val="none" w:sz="0" w:space="0" w:color="auto"/>
        <w:left w:val="none" w:sz="0" w:space="0" w:color="auto"/>
        <w:bottom w:val="none" w:sz="0" w:space="0" w:color="auto"/>
        <w:right w:val="none" w:sz="0" w:space="0" w:color="auto"/>
      </w:divBdr>
    </w:div>
    <w:div w:id="1491368510">
      <w:bodyDiv w:val="1"/>
      <w:marLeft w:val="0"/>
      <w:marRight w:val="0"/>
      <w:marTop w:val="0"/>
      <w:marBottom w:val="0"/>
      <w:divBdr>
        <w:top w:val="none" w:sz="0" w:space="0" w:color="auto"/>
        <w:left w:val="none" w:sz="0" w:space="0" w:color="auto"/>
        <w:bottom w:val="none" w:sz="0" w:space="0" w:color="auto"/>
        <w:right w:val="none" w:sz="0" w:space="0" w:color="auto"/>
      </w:divBdr>
    </w:div>
    <w:div w:id="1500005919">
      <w:bodyDiv w:val="1"/>
      <w:marLeft w:val="0"/>
      <w:marRight w:val="0"/>
      <w:marTop w:val="0"/>
      <w:marBottom w:val="0"/>
      <w:divBdr>
        <w:top w:val="none" w:sz="0" w:space="0" w:color="auto"/>
        <w:left w:val="none" w:sz="0" w:space="0" w:color="auto"/>
        <w:bottom w:val="none" w:sz="0" w:space="0" w:color="auto"/>
        <w:right w:val="none" w:sz="0" w:space="0" w:color="auto"/>
      </w:divBdr>
    </w:div>
    <w:div w:id="1520241984">
      <w:bodyDiv w:val="1"/>
      <w:marLeft w:val="0"/>
      <w:marRight w:val="0"/>
      <w:marTop w:val="0"/>
      <w:marBottom w:val="0"/>
      <w:divBdr>
        <w:top w:val="none" w:sz="0" w:space="0" w:color="auto"/>
        <w:left w:val="none" w:sz="0" w:space="0" w:color="auto"/>
        <w:bottom w:val="none" w:sz="0" w:space="0" w:color="auto"/>
        <w:right w:val="none" w:sz="0" w:space="0" w:color="auto"/>
      </w:divBdr>
    </w:div>
    <w:div w:id="1556811963">
      <w:bodyDiv w:val="1"/>
      <w:marLeft w:val="0"/>
      <w:marRight w:val="0"/>
      <w:marTop w:val="0"/>
      <w:marBottom w:val="0"/>
      <w:divBdr>
        <w:top w:val="none" w:sz="0" w:space="0" w:color="auto"/>
        <w:left w:val="none" w:sz="0" w:space="0" w:color="auto"/>
        <w:bottom w:val="none" w:sz="0" w:space="0" w:color="auto"/>
        <w:right w:val="none" w:sz="0" w:space="0" w:color="auto"/>
      </w:divBdr>
    </w:div>
    <w:div w:id="1579705922">
      <w:bodyDiv w:val="1"/>
      <w:marLeft w:val="0"/>
      <w:marRight w:val="0"/>
      <w:marTop w:val="0"/>
      <w:marBottom w:val="0"/>
      <w:divBdr>
        <w:top w:val="none" w:sz="0" w:space="0" w:color="auto"/>
        <w:left w:val="none" w:sz="0" w:space="0" w:color="auto"/>
        <w:bottom w:val="none" w:sz="0" w:space="0" w:color="auto"/>
        <w:right w:val="none" w:sz="0" w:space="0" w:color="auto"/>
      </w:divBdr>
    </w:div>
    <w:div w:id="1593705621">
      <w:bodyDiv w:val="1"/>
      <w:marLeft w:val="0"/>
      <w:marRight w:val="0"/>
      <w:marTop w:val="0"/>
      <w:marBottom w:val="0"/>
      <w:divBdr>
        <w:top w:val="none" w:sz="0" w:space="0" w:color="auto"/>
        <w:left w:val="none" w:sz="0" w:space="0" w:color="auto"/>
        <w:bottom w:val="none" w:sz="0" w:space="0" w:color="auto"/>
        <w:right w:val="none" w:sz="0" w:space="0" w:color="auto"/>
      </w:divBdr>
    </w:div>
    <w:div w:id="1597443918">
      <w:bodyDiv w:val="1"/>
      <w:marLeft w:val="0"/>
      <w:marRight w:val="0"/>
      <w:marTop w:val="0"/>
      <w:marBottom w:val="0"/>
      <w:divBdr>
        <w:top w:val="none" w:sz="0" w:space="0" w:color="auto"/>
        <w:left w:val="none" w:sz="0" w:space="0" w:color="auto"/>
        <w:bottom w:val="none" w:sz="0" w:space="0" w:color="auto"/>
        <w:right w:val="none" w:sz="0" w:space="0" w:color="auto"/>
      </w:divBdr>
    </w:div>
    <w:div w:id="1681931419">
      <w:bodyDiv w:val="1"/>
      <w:marLeft w:val="0"/>
      <w:marRight w:val="0"/>
      <w:marTop w:val="0"/>
      <w:marBottom w:val="0"/>
      <w:divBdr>
        <w:top w:val="none" w:sz="0" w:space="0" w:color="auto"/>
        <w:left w:val="none" w:sz="0" w:space="0" w:color="auto"/>
        <w:bottom w:val="none" w:sz="0" w:space="0" w:color="auto"/>
        <w:right w:val="none" w:sz="0" w:space="0" w:color="auto"/>
      </w:divBdr>
    </w:div>
    <w:div w:id="1702393315">
      <w:bodyDiv w:val="1"/>
      <w:marLeft w:val="0"/>
      <w:marRight w:val="0"/>
      <w:marTop w:val="0"/>
      <w:marBottom w:val="0"/>
      <w:divBdr>
        <w:top w:val="none" w:sz="0" w:space="0" w:color="auto"/>
        <w:left w:val="none" w:sz="0" w:space="0" w:color="auto"/>
        <w:bottom w:val="none" w:sz="0" w:space="0" w:color="auto"/>
        <w:right w:val="none" w:sz="0" w:space="0" w:color="auto"/>
      </w:divBdr>
    </w:div>
    <w:div w:id="1720518123">
      <w:bodyDiv w:val="1"/>
      <w:marLeft w:val="0"/>
      <w:marRight w:val="0"/>
      <w:marTop w:val="0"/>
      <w:marBottom w:val="0"/>
      <w:divBdr>
        <w:top w:val="none" w:sz="0" w:space="0" w:color="auto"/>
        <w:left w:val="none" w:sz="0" w:space="0" w:color="auto"/>
        <w:bottom w:val="none" w:sz="0" w:space="0" w:color="auto"/>
        <w:right w:val="none" w:sz="0" w:space="0" w:color="auto"/>
      </w:divBdr>
    </w:div>
    <w:div w:id="1725131766">
      <w:bodyDiv w:val="1"/>
      <w:marLeft w:val="0"/>
      <w:marRight w:val="0"/>
      <w:marTop w:val="0"/>
      <w:marBottom w:val="0"/>
      <w:divBdr>
        <w:top w:val="none" w:sz="0" w:space="0" w:color="auto"/>
        <w:left w:val="none" w:sz="0" w:space="0" w:color="auto"/>
        <w:bottom w:val="none" w:sz="0" w:space="0" w:color="auto"/>
        <w:right w:val="none" w:sz="0" w:space="0" w:color="auto"/>
      </w:divBdr>
    </w:div>
    <w:div w:id="1737321057">
      <w:bodyDiv w:val="1"/>
      <w:marLeft w:val="0"/>
      <w:marRight w:val="0"/>
      <w:marTop w:val="0"/>
      <w:marBottom w:val="0"/>
      <w:divBdr>
        <w:top w:val="none" w:sz="0" w:space="0" w:color="auto"/>
        <w:left w:val="none" w:sz="0" w:space="0" w:color="auto"/>
        <w:bottom w:val="none" w:sz="0" w:space="0" w:color="auto"/>
        <w:right w:val="none" w:sz="0" w:space="0" w:color="auto"/>
      </w:divBdr>
    </w:div>
    <w:div w:id="1820927176">
      <w:bodyDiv w:val="1"/>
      <w:marLeft w:val="0"/>
      <w:marRight w:val="0"/>
      <w:marTop w:val="0"/>
      <w:marBottom w:val="0"/>
      <w:divBdr>
        <w:top w:val="none" w:sz="0" w:space="0" w:color="auto"/>
        <w:left w:val="none" w:sz="0" w:space="0" w:color="auto"/>
        <w:bottom w:val="none" w:sz="0" w:space="0" w:color="auto"/>
        <w:right w:val="none" w:sz="0" w:space="0" w:color="auto"/>
      </w:divBdr>
    </w:div>
    <w:div w:id="1827546913">
      <w:bodyDiv w:val="1"/>
      <w:marLeft w:val="0"/>
      <w:marRight w:val="0"/>
      <w:marTop w:val="0"/>
      <w:marBottom w:val="0"/>
      <w:divBdr>
        <w:top w:val="none" w:sz="0" w:space="0" w:color="auto"/>
        <w:left w:val="none" w:sz="0" w:space="0" w:color="auto"/>
        <w:bottom w:val="none" w:sz="0" w:space="0" w:color="auto"/>
        <w:right w:val="none" w:sz="0" w:space="0" w:color="auto"/>
      </w:divBdr>
    </w:div>
    <w:div w:id="1831558917">
      <w:bodyDiv w:val="1"/>
      <w:marLeft w:val="0"/>
      <w:marRight w:val="0"/>
      <w:marTop w:val="0"/>
      <w:marBottom w:val="0"/>
      <w:divBdr>
        <w:top w:val="none" w:sz="0" w:space="0" w:color="auto"/>
        <w:left w:val="none" w:sz="0" w:space="0" w:color="auto"/>
        <w:bottom w:val="none" w:sz="0" w:space="0" w:color="auto"/>
        <w:right w:val="none" w:sz="0" w:space="0" w:color="auto"/>
      </w:divBdr>
    </w:div>
    <w:div w:id="1856772495">
      <w:bodyDiv w:val="1"/>
      <w:marLeft w:val="0"/>
      <w:marRight w:val="0"/>
      <w:marTop w:val="0"/>
      <w:marBottom w:val="0"/>
      <w:divBdr>
        <w:top w:val="none" w:sz="0" w:space="0" w:color="auto"/>
        <w:left w:val="none" w:sz="0" w:space="0" w:color="auto"/>
        <w:bottom w:val="none" w:sz="0" w:space="0" w:color="auto"/>
        <w:right w:val="none" w:sz="0" w:space="0" w:color="auto"/>
      </w:divBdr>
    </w:div>
    <w:div w:id="1865828937">
      <w:bodyDiv w:val="1"/>
      <w:marLeft w:val="0"/>
      <w:marRight w:val="0"/>
      <w:marTop w:val="0"/>
      <w:marBottom w:val="0"/>
      <w:divBdr>
        <w:top w:val="none" w:sz="0" w:space="0" w:color="auto"/>
        <w:left w:val="none" w:sz="0" w:space="0" w:color="auto"/>
        <w:bottom w:val="none" w:sz="0" w:space="0" w:color="auto"/>
        <w:right w:val="none" w:sz="0" w:space="0" w:color="auto"/>
      </w:divBdr>
    </w:div>
    <w:div w:id="1908109853">
      <w:bodyDiv w:val="1"/>
      <w:marLeft w:val="0"/>
      <w:marRight w:val="0"/>
      <w:marTop w:val="0"/>
      <w:marBottom w:val="0"/>
      <w:divBdr>
        <w:top w:val="none" w:sz="0" w:space="0" w:color="auto"/>
        <w:left w:val="none" w:sz="0" w:space="0" w:color="auto"/>
        <w:bottom w:val="none" w:sz="0" w:space="0" w:color="auto"/>
        <w:right w:val="none" w:sz="0" w:space="0" w:color="auto"/>
      </w:divBdr>
    </w:div>
    <w:div w:id="1910916973">
      <w:bodyDiv w:val="1"/>
      <w:marLeft w:val="0"/>
      <w:marRight w:val="0"/>
      <w:marTop w:val="0"/>
      <w:marBottom w:val="0"/>
      <w:divBdr>
        <w:top w:val="none" w:sz="0" w:space="0" w:color="auto"/>
        <w:left w:val="none" w:sz="0" w:space="0" w:color="auto"/>
        <w:bottom w:val="none" w:sz="0" w:space="0" w:color="auto"/>
        <w:right w:val="none" w:sz="0" w:space="0" w:color="auto"/>
      </w:divBdr>
    </w:div>
    <w:div w:id="1918054439">
      <w:bodyDiv w:val="1"/>
      <w:marLeft w:val="0"/>
      <w:marRight w:val="0"/>
      <w:marTop w:val="0"/>
      <w:marBottom w:val="0"/>
      <w:divBdr>
        <w:top w:val="none" w:sz="0" w:space="0" w:color="auto"/>
        <w:left w:val="none" w:sz="0" w:space="0" w:color="auto"/>
        <w:bottom w:val="none" w:sz="0" w:space="0" w:color="auto"/>
        <w:right w:val="none" w:sz="0" w:space="0" w:color="auto"/>
      </w:divBdr>
    </w:div>
    <w:div w:id="1929148129">
      <w:bodyDiv w:val="1"/>
      <w:marLeft w:val="0"/>
      <w:marRight w:val="0"/>
      <w:marTop w:val="0"/>
      <w:marBottom w:val="0"/>
      <w:divBdr>
        <w:top w:val="none" w:sz="0" w:space="0" w:color="auto"/>
        <w:left w:val="none" w:sz="0" w:space="0" w:color="auto"/>
        <w:bottom w:val="none" w:sz="0" w:space="0" w:color="auto"/>
        <w:right w:val="none" w:sz="0" w:space="0" w:color="auto"/>
      </w:divBdr>
    </w:div>
    <w:div w:id="1943344562">
      <w:bodyDiv w:val="1"/>
      <w:marLeft w:val="0"/>
      <w:marRight w:val="0"/>
      <w:marTop w:val="0"/>
      <w:marBottom w:val="0"/>
      <w:divBdr>
        <w:top w:val="none" w:sz="0" w:space="0" w:color="auto"/>
        <w:left w:val="none" w:sz="0" w:space="0" w:color="auto"/>
        <w:bottom w:val="none" w:sz="0" w:space="0" w:color="auto"/>
        <w:right w:val="none" w:sz="0" w:space="0" w:color="auto"/>
      </w:divBdr>
    </w:div>
    <w:div w:id="1987006687">
      <w:bodyDiv w:val="1"/>
      <w:marLeft w:val="0"/>
      <w:marRight w:val="0"/>
      <w:marTop w:val="0"/>
      <w:marBottom w:val="0"/>
      <w:divBdr>
        <w:top w:val="none" w:sz="0" w:space="0" w:color="auto"/>
        <w:left w:val="none" w:sz="0" w:space="0" w:color="auto"/>
        <w:bottom w:val="none" w:sz="0" w:space="0" w:color="auto"/>
        <w:right w:val="none" w:sz="0" w:space="0" w:color="auto"/>
      </w:divBdr>
    </w:div>
    <w:div w:id="1990093889">
      <w:bodyDiv w:val="1"/>
      <w:marLeft w:val="0"/>
      <w:marRight w:val="0"/>
      <w:marTop w:val="0"/>
      <w:marBottom w:val="0"/>
      <w:divBdr>
        <w:top w:val="none" w:sz="0" w:space="0" w:color="auto"/>
        <w:left w:val="none" w:sz="0" w:space="0" w:color="auto"/>
        <w:bottom w:val="none" w:sz="0" w:space="0" w:color="auto"/>
        <w:right w:val="none" w:sz="0" w:space="0" w:color="auto"/>
      </w:divBdr>
    </w:div>
    <w:div w:id="2023584786">
      <w:bodyDiv w:val="1"/>
      <w:marLeft w:val="0"/>
      <w:marRight w:val="0"/>
      <w:marTop w:val="0"/>
      <w:marBottom w:val="0"/>
      <w:divBdr>
        <w:top w:val="none" w:sz="0" w:space="0" w:color="auto"/>
        <w:left w:val="none" w:sz="0" w:space="0" w:color="auto"/>
        <w:bottom w:val="none" w:sz="0" w:space="0" w:color="auto"/>
        <w:right w:val="none" w:sz="0" w:space="0" w:color="auto"/>
      </w:divBdr>
    </w:div>
    <w:div w:id="2037000027">
      <w:bodyDiv w:val="1"/>
      <w:marLeft w:val="0"/>
      <w:marRight w:val="0"/>
      <w:marTop w:val="0"/>
      <w:marBottom w:val="0"/>
      <w:divBdr>
        <w:top w:val="none" w:sz="0" w:space="0" w:color="auto"/>
        <w:left w:val="none" w:sz="0" w:space="0" w:color="auto"/>
        <w:bottom w:val="none" w:sz="0" w:space="0" w:color="auto"/>
        <w:right w:val="none" w:sz="0" w:space="0" w:color="auto"/>
      </w:divBdr>
    </w:div>
    <w:div w:id="2057772417">
      <w:bodyDiv w:val="1"/>
      <w:marLeft w:val="0"/>
      <w:marRight w:val="0"/>
      <w:marTop w:val="0"/>
      <w:marBottom w:val="0"/>
      <w:divBdr>
        <w:top w:val="none" w:sz="0" w:space="0" w:color="auto"/>
        <w:left w:val="none" w:sz="0" w:space="0" w:color="auto"/>
        <w:bottom w:val="none" w:sz="0" w:space="0" w:color="auto"/>
        <w:right w:val="none" w:sz="0" w:space="0" w:color="auto"/>
      </w:divBdr>
    </w:div>
    <w:div w:id="208988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0308597X20303693" TargetMode="External"/><Relationship Id="rId21" Type="http://schemas.openxmlformats.org/officeDocument/2006/relationships/hyperlink" Target="https://www.nature.com/articles/508171a" TargetMode="External"/><Relationship Id="rId42" Type="http://schemas.openxmlformats.org/officeDocument/2006/relationships/hyperlink" Target="https://doi.org/10.1016/j.marpol.2021.104785" TargetMode="External"/><Relationship Id="rId63" Type="http://schemas.openxmlformats.org/officeDocument/2006/relationships/hyperlink" Target="https://global.oup.com/academic/product/informal-international-lawmaking-9780199658584" TargetMode="External"/><Relationship Id="rId84" Type="http://schemas.openxmlformats.org/officeDocument/2006/relationships/hyperlink" Target="https://doi.org/10.1016/j.marpol.2015.03.010" TargetMode="External"/><Relationship Id="rId138" Type="http://schemas.openxmlformats.org/officeDocument/2006/relationships/hyperlink" Target="https://wedocs.unep.org/20.500.11822/7661" TargetMode="External"/><Relationship Id="rId159" Type="http://schemas.openxmlformats.org/officeDocument/2006/relationships/hyperlink" Target="https://treaties.un.org/" TargetMode="External"/><Relationship Id="rId170" Type="http://schemas.openxmlformats.org/officeDocument/2006/relationships/hyperlink" Target="https://www.fao.org/publications/en/" TargetMode="External"/><Relationship Id="rId191" Type="http://schemas.openxmlformats.org/officeDocument/2006/relationships/hyperlink" Target="https://www.jstor.org/stable/2605898" TargetMode="External"/><Relationship Id="rId205" Type="http://schemas.openxmlformats.org/officeDocument/2006/relationships/hyperlink" Target="https://www.fao.org/inaction/bluegrowth/en/" TargetMode="External"/><Relationship Id="rId226" Type="http://schemas.openxmlformats.org/officeDocument/2006/relationships/hyperlink" Target="https://oceanliteracy.unesco.org/" TargetMode="External"/><Relationship Id="rId107" Type="http://schemas.openxmlformats.org/officeDocument/2006/relationships/hyperlink" Target="https://www.fao.org/publications/card/en/c/ca9231en/" TargetMode="External"/><Relationship Id="rId11" Type="http://schemas.openxmlformats.org/officeDocument/2006/relationships/hyperlink" Target="https://www.penguinrandomhouse.com/books/292530/age-of-extremes-by-eric-hobsbawm/" TargetMode="External"/><Relationship Id="rId32" Type="http://schemas.openxmlformats.org/officeDocument/2006/relationships/hyperlink" Target="https://www.unep.org/nairobiconvention/" TargetMode="External"/><Relationship Id="rId53" Type="http://schemas.openxmlformats.org/officeDocument/2006/relationships/hyperlink" Target="https://www.wipo.int/" TargetMode="External"/><Relationship Id="rId74" Type="http://schemas.openxmlformats.org/officeDocument/2006/relationships/hyperlink" Target="https://www.icj-cij.org/" TargetMode="External"/><Relationship Id="rId128" Type="http://schemas.openxmlformats.org/officeDocument/2006/relationships/hyperlink" Target="https://www.oecd.org/environment/innovation-and-the-ocean-economy-bf2a2f88-en.htm" TargetMode="External"/><Relationship Id="rId149" Type="http://schemas.openxmlformats.org/officeDocument/2006/relationships/hyperlink" Target="https://www.sciencedirect.com/science/article/pii/S0308597X16300563" TargetMode="External"/><Relationship Id="rId5" Type="http://schemas.openxmlformats.org/officeDocument/2006/relationships/hyperlink" Target="https://global.oup.com/academic/product/international-organizations-9781137284549" TargetMode="External"/><Relationship Id="rId95" Type="http://schemas.openxmlformats.org/officeDocument/2006/relationships/hyperlink" Target="https://unesdoc.unesco.org/ark:/48223/pf0000259890" TargetMode="External"/><Relationship Id="rId160" Type="http://schemas.openxmlformats.org/officeDocument/2006/relationships/hyperlink" Target="https://www.un.org/depts/los/general_assembly/general_assembly_reports.htm" TargetMode="External"/><Relationship Id="rId181" Type="http://schemas.openxmlformats.org/officeDocument/2006/relationships/hyperlink" Target="https://www.imo.org/" TargetMode="External"/><Relationship Id="rId216" Type="http://schemas.openxmlformats.org/officeDocument/2006/relationships/hyperlink" Target="https://sdgs.un.org/conferences/ocean2022" TargetMode="External"/><Relationship Id="rId22" Type="http://schemas.openxmlformats.org/officeDocument/2006/relationships/hyperlink" Target="https://www.sciencedirect.com/science/article/pii/S0308597X2300013X" TargetMode="External"/><Relationship Id="rId43" Type="http://schemas.openxmlformats.org/officeDocument/2006/relationships/hyperlink" Target="https://www.ohchr.org/" TargetMode="External"/><Relationship Id="rId64" Type="http://schemas.openxmlformats.org/officeDocument/2006/relationships/hyperlink" Target="https://doi.org/10.1017/CBO9780511494154" TargetMode="External"/><Relationship Id="rId118" Type="http://schemas.openxmlformats.org/officeDocument/2006/relationships/hyperlink" Target="https://www.imo.org/en/About/Pages/Budget.aspx" TargetMode="External"/><Relationship Id="rId139" Type="http://schemas.openxmlformats.org/officeDocument/2006/relationships/hyperlink" Target="https://sdgs.un.org/conferences/ocean2022" TargetMode="External"/><Relationship Id="rId85" Type="http://schemas.openxmlformats.org/officeDocument/2006/relationships/hyperlink" Target="https://www.fao.org/strategic-framework/en/" TargetMode="External"/><Relationship Id="rId150" Type="http://schemas.openxmlformats.org/officeDocument/2006/relationships/hyperlink" Target="https://www.iucn.org/resources/publications" TargetMode="External"/><Relationship Id="rId171" Type="http://schemas.openxmlformats.org/officeDocument/2006/relationships/hyperlink" Target="https://www.imo.org/" TargetMode="External"/><Relationship Id="rId192" Type="http://schemas.openxmlformats.org/officeDocument/2006/relationships/hyperlink" Target="https://scholarship.law.columbia.edu/faculty_scholarship/1327" TargetMode="External"/><Relationship Id="rId206" Type="http://schemas.openxmlformats.org/officeDocument/2006/relationships/hyperlink" Target="https://global.oup.com/academic/product/earth-system-governance-9780262013910" TargetMode="External"/><Relationship Id="rId227" Type="http://schemas.openxmlformats.org/officeDocument/2006/relationships/hyperlink" Target="https://mitpress.mit.edu/9780262740250/the-institutional-dimensions-of-environmental-change/" TargetMode="External"/><Relationship Id="rId12" Type="http://schemas.openxmlformats.org/officeDocument/2006/relationships/hyperlink" Target="https://cup.columbia.edu/book/the-global-cold-war/9780521703147" TargetMode="External"/><Relationship Id="rId33" Type="http://schemas.openxmlformats.org/officeDocument/2006/relationships/hyperlink" Target="https://doi.org/10.3389/fmars.2024.1375126" TargetMode="External"/><Relationship Id="rId108" Type="http://schemas.openxmlformats.org/officeDocument/2006/relationships/hyperlink" Target="https://doi.org/10.1016/j.marpol.2015.03.005" TargetMode="External"/><Relationship Id="rId129" Type="http://schemas.openxmlformats.org/officeDocument/2006/relationships/hyperlink" Target="https://www.sciencedirect.com/science/article/pii/S0308597X18303725" TargetMode="External"/><Relationship Id="rId54" Type="http://schemas.openxmlformats.org/officeDocument/2006/relationships/hyperlink" Target="https://global.oup.com/academic/product/an-introduction-to-international-organizations-law-9781107535831" TargetMode="External"/><Relationship Id="rId75" Type="http://schemas.openxmlformats.org/officeDocument/2006/relationships/hyperlink" Target="https://doi.org/10.2307/2201177" TargetMode="External"/><Relationship Id="rId96" Type="http://schemas.openxmlformats.org/officeDocument/2006/relationships/hyperlink" Target="https://doi.org/10.1016/j.marpol.2020.103927" TargetMode="External"/><Relationship Id="rId140" Type="http://schemas.openxmlformats.org/officeDocument/2006/relationships/hyperlink" Target="https://scholarship.law.columbia.edu/faculty_scholarship/1327" TargetMode="External"/><Relationship Id="rId161" Type="http://schemas.openxmlformats.org/officeDocument/2006/relationships/hyperlink" Target="https://www.oecd.org/dac/" TargetMode="External"/><Relationship Id="rId182" Type="http://schemas.openxmlformats.org/officeDocument/2006/relationships/hyperlink" Target="https://www.sciencedirect.com/science/article/pii/S0308597X15002235" TargetMode="External"/><Relationship Id="rId217" Type="http://schemas.openxmlformats.org/officeDocument/2006/relationships/hyperlink" Target="https://www.worldbank.org/en/programs/problue" TargetMode="External"/><Relationship Id="rId6" Type="http://schemas.openxmlformats.org/officeDocument/2006/relationships/hyperlink" Target="https://brill.com/display/title/11614" TargetMode="External"/><Relationship Id="rId23" Type="http://schemas.openxmlformats.org/officeDocument/2006/relationships/hyperlink" Target="https://unesdoc.unesco.org/ark:/48223/pf0000375745" TargetMode="External"/><Relationship Id="rId119" Type="http://schemas.openxmlformats.org/officeDocument/2006/relationships/hyperlink" Target="https://global.oup.com/academic/product/the-making-of-international-law-9780199213790" TargetMode="External"/><Relationship Id="rId44" Type="http://schemas.openxmlformats.org/officeDocument/2006/relationships/hyperlink" Target="https://oneoceanhub.org/" TargetMode="External"/><Relationship Id="rId65" Type="http://schemas.openxmlformats.org/officeDocument/2006/relationships/hyperlink" Target="https://doi.org/10.1162/glep.2009.9.4.14" TargetMode="External"/><Relationship Id="rId86" Type="http://schemas.openxmlformats.org/officeDocument/2006/relationships/hyperlink" Target="https://unctad.org/webflyer/trade-and-environment-review-2014" TargetMode="External"/><Relationship Id="rId130" Type="http://schemas.openxmlformats.org/officeDocument/2006/relationships/hyperlink" Target="https://documents.worldbank.org/en/publication/documents-reports/documentdetail/459701632433537766" TargetMode="External"/><Relationship Id="rId151" Type="http://schemas.openxmlformats.org/officeDocument/2006/relationships/hyperlink" Target="https://www.worldwildlife.org/" TargetMode="External"/><Relationship Id="rId172" Type="http://schemas.openxmlformats.org/officeDocument/2006/relationships/hyperlink" Target="https://ipbes.net/" TargetMode="External"/><Relationship Id="rId193" Type="http://schemas.openxmlformats.org/officeDocument/2006/relationships/hyperlink" Target="https://www.imo.org/en/OurWork/MSAS/Pages/Default.aspx" TargetMode="External"/><Relationship Id="rId207" Type="http://schemas.openxmlformats.org/officeDocument/2006/relationships/hyperlink" Target="https://www.unep.org/resources/report" TargetMode="External"/><Relationship Id="rId228" Type="http://schemas.openxmlformats.org/officeDocument/2006/relationships/hyperlink" Target="https://www.pemsea.org/" TargetMode="External"/><Relationship Id="rId13" Type="http://schemas.openxmlformats.org/officeDocument/2006/relationships/hyperlink" Target="https://global.oup.com/academic/product/beyond-the-nation-state-9780804707778" TargetMode="External"/><Relationship Id="rId109" Type="http://schemas.openxmlformats.org/officeDocument/2006/relationships/hyperlink" Target="https://www.imo.org/en/OurWork/TechnicalCooperation/Pages/ITCP.aspx" TargetMode="External"/><Relationship Id="rId34" Type="http://schemas.openxmlformats.org/officeDocument/2006/relationships/hyperlink" Target="https://doi.org/10.1787/92e3f109-en" TargetMode="External"/><Relationship Id="rId55" Type="http://schemas.openxmlformats.org/officeDocument/2006/relationships/hyperlink" Target="https://global.oup.com/academic/product/international-organizations-as-law-makers-9780198765627" TargetMode="External"/><Relationship Id="rId76" Type="http://schemas.openxmlformats.org/officeDocument/2006/relationships/hyperlink" Target="https://www.cambridge.org/core/books/handbook-of-international-law/" TargetMode="External"/><Relationship Id="rId97" Type="http://schemas.openxmlformats.org/officeDocument/2006/relationships/hyperlink" Target="https://oceandecade.org/" TargetMode="External"/><Relationship Id="rId120" Type="http://schemas.openxmlformats.org/officeDocument/2006/relationships/hyperlink" Target="https://www.cambridge.org/core/books/international-law-of-the-sea/4B7EACB623A267E7A747D3EB95D60FB8" TargetMode="External"/><Relationship Id="rId141" Type="http://schemas.openxmlformats.org/officeDocument/2006/relationships/hyperlink" Target="https://global.oup.com/academic/product/the-new-sovereignty-9780674617338" TargetMode="External"/><Relationship Id="rId7" Type="http://schemas.openxmlformats.org/officeDocument/2006/relationships/hyperlink" Target="https://global.oup.com/academic/product/securing-the-world-economy-9780199577939" TargetMode="External"/><Relationship Id="rId162" Type="http://schemas.openxmlformats.org/officeDocument/2006/relationships/hyperlink" Target="https://www.thegef.org/partners" TargetMode="External"/><Relationship Id="rId183" Type="http://schemas.openxmlformats.org/officeDocument/2006/relationships/hyperlink" Target="https://www.undp.org/" TargetMode="External"/><Relationship Id="rId218" Type="http://schemas.openxmlformats.org/officeDocument/2006/relationships/hyperlink" Target="https://www.routledge.com/Global-Environmental-Politics/Chasek-Downie-Brown/p/book/9780813348467" TargetMode="External"/><Relationship Id="rId24" Type="http://schemas.openxmlformats.org/officeDocument/2006/relationships/hyperlink" Target="https://doi.org/10.1017/S0020818318000343" TargetMode="External"/><Relationship Id="rId45" Type="http://schemas.openxmlformats.org/officeDocument/2006/relationships/hyperlink" Target="https://doi.org/10.1163/24519391-05010012" TargetMode="External"/><Relationship Id="rId66" Type="http://schemas.openxmlformats.org/officeDocument/2006/relationships/hyperlink" Target="https://mitpress.mit.edu/9780262740243/governing-complex-systems/" TargetMode="External"/><Relationship Id="rId87" Type="http://schemas.openxmlformats.org/officeDocument/2006/relationships/hyperlink" Target="https://doi.org/10.1016/j.marpol.2020.103927" TargetMode="External"/><Relationship Id="rId110" Type="http://schemas.openxmlformats.org/officeDocument/2006/relationships/hyperlink" Target="https://doi.org/10.2307/3078608" TargetMode="External"/><Relationship Id="rId131" Type="http://schemas.openxmlformats.org/officeDocument/2006/relationships/hyperlink" Target="https://sdgs.un.org/goals" TargetMode="External"/><Relationship Id="rId152" Type="http://schemas.openxmlformats.org/officeDocument/2006/relationships/hyperlink" Target="https://www.oecd.org/environment/innovation-and-the-ocean-economy-bf2a2f88-en.htm" TargetMode="External"/><Relationship Id="rId173" Type="http://schemas.openxmlformats.org/officeDocument/2006/relationships/hyperlink" Target="https://www.sciencedirect.com/science/article/pii/S0308597X13000636" TargetMode="External"/><Relationship Id="rId194" Type="http://schemas.openxmlformats.org/officeDocument/2006/relationships/hyperlink" Target="https://science.sciencemag.org/content/325/5939/419" TargetMode="External"/><Relationship Id="rId208" Type="http://schemas.openxmlformats.org/officeDocument/2006/relationships/hyperlink" Target="https://www.cbd.int/sbstta/" TargetMode="External"/><Relationship Id="rId229" Type="http://schemas.openxmlformats.org/officeDocument/2006/relationships/hyperlink" Target="https://www.lmehub.net/" TargetMode="External"/><Relationship Id="rId14" Type="http://schemas.openxmlformats.org/officeDocument/2006/relationships/hyperlink" Target="https://www.cambridge.org/core/journals/international-organization/article/international-regimes-transactions-and-change-embedded-liberalism-in-the-postwar-economic-order/5A2D31AC" TargetMode="External"/><Relationship Id="rId35" Type="http://schemas.openxmlformats.org/officeDocument/2006/relationships/hyperlink" Target="https://ioc.unesco.org/" TargetMode="External"/><Relationship Id="rId56" Type="http://schemas.openxmlformats.org/officeDocument/2006/relationships/hyperlink" Target="https://opil.ouplaw.com/" TargetMode="External"/><Relationship Id="rId77" Type="http://schemas.openxmlformats.org/officeDocument/2006/relationships/hyperlink" Target="https://opil.ouplaw.com/" TargetMode="External"/><Relationship Id="rId100" Type="http://schemas.openxmlformats.org/officeDocument/2006/relationships/hyperlink" Target="https://documents.worldbank.org/en/publication/documents-reports/documentdetail/459701632433537766" TargetMode="External"/><Relationship Id="rId8" Type="http://schemas.openxmlformats.org/officeDocument/2006/relationships/hyperlink" Target="https://global.oup.com/academic/product/the-realities-of-power-9780060390815" TargetMode="External"/><Relationship Id="rId98" Type="http://schemas.openxmlformats.org/officeDocument/2006/relationships/hyperlink" Target="https://doi.org/10.1787/blue-economy-and-innovation-en" TargetMode="External"/><Relationship Id="rId121" Type="http://schemas.openxmlformats.org/officeDocument/2006/relationships/hyperlink" Target="https://www.un.org/depts/los/general_assembly/general_assembly_reports.htm" TargetMode="External"/><Relationship Id="rId142" Type="http://schemas.openxmlformats.org/officeDocument/2006/relationships/hyperlink" Target="https://www.goosocean.org/" TargetMode="External"/><Relationship Id="rId163" Type="http://schemas.openxmlformats.org/officeDocument/2006/relationships/hyperlink" Target="https://documents.worldbank.org/en/publication/documents-reports/documentdetail/459701632433537766" TargetMode="External"/><Relationship Id="rId184" Type="http://schemas.openxmlformats.org/officeDocument/2006/relationships/hyperlink" Target="https://www.fao.org/technical-cooperation-programme/en/" TargetMode="External"/><Relationship Id="rId219" Type="http://schemas.openxmlformats.org/officeDocument/2006/relationships/hyperlink" Target="https://www.imo.org/" TargetMode="External"/><Relationship Id="rId230" Type="http://schemas.openxmlformats.org/officeDocument/2006/relationships/hyperlink" Target="https://science.sciencemag.org/content/325/5939/419" TargetMode="External"/><Relationship Id="rId25" Type="http://schemas.openxmlformats.org/officeDocument/2006/relationships/hyperlink" Target="https://doi.org/10.1038/s41558-018-0184-2" TargetMode="External"/><Relationship Id="rId46" Type="http://schemas.openxmlformats.org/officeDocument/2006/relationships/hyperlink" Target="https://www.imo.org/" TargetMode="External"/><Relationship Id="rId67" Type="http://schemas.openxmlformats.org/officeDocument/2006/relationships/hyperlink" Target="https://global.oup.com/academic/product/the-international-law-of-the-sea-9781107437531" TargetMode="External"/><Relationship Id="rId20" Type="http://schemas.openxmlformats.org/officeDocument/2006/relationships/hyperlink" Target="https://sdgs.un.org/goals" TargetMode="External"/><Relationship Id="rId41" Type="http://schemas.openxmlformats.org/officeDocument/2006/relationships/hyperlink" Target="https://doi.org/10.2777/blueeconomy" TargetMode="External"/><Relationship Id="rId62" Type="http://schemas.openxmlformats.org/officeDocument/2006/relationships/hyperlink" Target="https://doi.org/10.1162/016228801753191845" TargetMode="External"/><Relationship Id="rId83" Type="http://schemas.openxmlformats.org/officeDocument/2006/relationships/hyperlink" Target="https://doi.org/10.1162/glep.2009.9.4.14" TargetMode="External"/><Relationship Id="rId88" Type="http://schemas.openxmlformats.org/officeDocument/2006/relationships/hyperlink" Target="https://www.imo.org/en/About/Pages/Budget.aspx" TargetMode="External"/><Relationship Id="rId111" Type="http://schemas.openxmlformats.org/officeDocument/2006/relationships/hyperlink" Target="https://www.hup.harvard.edu/books/9780674151760" TargetMode="External"/><Relationship Id="rId132" Type="http://schemas.openxmlformats.org/officeDocument/2006/relationships/hyperlink" Target="https://www.sciencedirect.com/science/article/pii/S0308597X20305248" TargetMode="External"/><Relationship Id="rId153" Type="http://schemas.openxmlformats.org/officeDocument/2006/relationships/hyperlink" Target="https://www.oceancouncil.org/" TargetMode="External"/><Relationship Id="rId174" Type="http://schemas.openxmlformats.org/officeDocument/2006/relationships/hyperlink" Target="https://global.oup.com/academic/product/the-law-of-the-sea-9780719037688" TargetMode="External"/><Relationship Id="rId179" Type="http://schemas.openxmlformats.org/officeDocument/2006/relationships/hyperlink" Target="https://www.routledge.com/Global-Environmental-Politics/Chasek-Downie-Brown/p/book/9780813348467" TargetMode="External"/><Relationship Id="rId195" Type="http://schemas.openxmlformats.org/officeDocument/2006/relationships/hyperlink" Target="https://www.oecd.org/environment/innovation-and-the-ocean-economy-bf2a2f88-en.htm" TargetMode="External"/><Relationship Id="rId209" Type="http://schemas.openxmlformats.org/officeDocument/2006/relationships/hyperlink" Target="https://www.sciencedirect.com/science/article/pii/S0308597X1930779X" TargetMode="External"/><Relationship Id="rId190" Type="http://schemas.openxmlformats.org/officeDocument/2006/relationships/hyperlink" Target="https://www.sprep.org/" TargetMode="External"/><Relationship Id="rId204" Type="http://schemas.openxmlformats.org/officeDocument/2006/relationships/hyperlink" Target="https://www.oecd.org/environment/innovation-and-the-ocean-economy-bf2a2f88-en.htm" TargetMode="External"/><Relationship Id="rId220" Type="http://schemas.openxmlformats.org/officeDocument/2006/relationships/hyperlink" Target="https://www.fao.org/" TargetMode="External"/><Relationship Id="rId225" Type="http://schemas.openxmlformats.org/officeDocument/2006/relationships/hyperlink" Target="https://www.iucn.org/" TargetMode="External"/><Relationship Id="rId15" Type="http://schemas.openxmlformats.org/officeDocument/2006/relationships/hyperlink" Target="https://www.routledge.com/After-Hegemony/Keohane/p/book/9780691122489" TargetMode="External"/><Relationship Id="rId36" Type="http://schemas.openxmlformats.org/officeDocument/2006/relationships/hyperlink" Target="https://doi.org/10.1111/rec.12964" TargetMode="External"/><Relationship Id="rId57" Type="http://schemas.openxmlformats.org/officeDocument/2006/relationships/hyperlink" Target="https://global.oup.com/academic/product/the-making-of-international-law-9780199552158" TargetMode="External"/><Relationship Id="rId106" Type="http://schemas.openxmlformats.org/officeDocument/2006/relationships/hyperlink" Target="https://sdgs.un.org/conferences/ocean2022" TargetMode="External"/><Relationship Id="rId127" Type="http://schemas.openxmlformats.org/officeDocument/2006/relationships/hyperlink" Target="https://oceandecade.org/" TargetMode="External"/><Relationship Id="rId10" Type="http://schemas.openxmlformats.org/officeDocument/2006/relationships/hyperlink" Target="https://global.oup.com/academic/product/global-community-9780520234079" TargetMode="External"/><Relationship Id="rId31" Type="http://schemas.openxmlformats.org/officeDocument/2006/relationships/hyperlink" Target="https://www.unep.org/resources/2023" TargetMode="External"/><Relationship Id="rId52" Type="http://schemas.openxmlformats.org/officeDocument/2006/relationships/hyperlink" Target="https://www.unesco.org/en/ocean" TargetMode="External"/><Relationship Id="rId73" Type="http://schemas.openxmlformats.org/officeDocument/2006/relationships/hyperlink" Target="https://global.oup.com/academic/product/principles-of-international-environmental-law-9781108467896" TargetMode="External"/><Relationship Id="rId78" Type="http://schemas.openxmlformats.org/officeDocument/2006/relationships/hyperlink" Target="https://www.hup.harvard.edu/books/9780674151760" TargetMode="External"/><Relationship Id="rId94" Type="http://schemas.openxmlformats.org/officeDocument/2006/relationships/hyperlink" Target="https://www.cbd.int/conferences/2022-2024/cop-15" TargetMode="External"/><Relationship Id="rId99" Type="http://schemas.openxmlformats.org/officeDocument/2006/relationships/hyperlink" Target="https://doi.org/10.1016/j.marpol.2018.02.017" TargetMode="External"/><Relationship Id="rId101" Type="http://schemas.openxmlformats.org/officeDocument/2006/relationships/hyperlink" Target="https://sdgs.un.org/goals" TargetMode="External"/><Relationship Id="rId122" Type="http://schemas.openxmlformats.org/officeDocument/2006/relationships/hyperlink" Target="https://www.sciencedirect.com/science/article/pii/S0308597X08000639" TargetMode="External"/><Relationship Id="rId143" Type="http://schemas.openxmlformats.org/officeDocument/2006/relationships/hyperlink" Target="https://unsceb.org/" TargetMode="External"/><Relationship Id="rId148" Type="http://schemas.openxmlformats.org/officeDocument/2006/relationships/hyperlink" Target="https://www.pemsea.org/" TargetMode="External"/><Relationship Id="rId164" Type="http://schemas.openxmlformats.org/officeDocument/2006/relationships/hyperlink" Target="https://sdgs.un.org/goals" TargetMode="External"/><Relationship Id="rId169" Type="http://schemas.openxmlformats.org/officeDocument/2006/relationships/hyperlink" Target="https://www.g20.org/" TargetMode="External"/><Relationship Id="rId185" Type="http://schemas.openxmlformats.org/officeDocument/2006/relationships/hyperlink" Target="https://www.taylorfrancis.com/books/mono/10.4324/9780203757716/integrating-environmental-management-ocean-coastal-policies-biliana-cicin-sain-robert-knecht" TargetMode="External"/><Relationship Id="rId4" Type="http://schemas.openxmlformats.org/officeDocument/2006/relationships/webSettings" Target="webSettings.xml"/><Relationship Id="rId9" Type="http://schemas.openxmlformats.org/officeDocument/2006/relationships/hyperlink" Target="https://global.oup.com/academic/product/securing-the-world-economy-9780199577939" TargetMode="External"/><Relationship Id="rId180" Type="http://schemas.openxmlformats.org/officeDocument/2006/relationships/hyperlink" Target="https://www.sciencedirect.com/science/article/pii/S0308597X10000383" TargetMode="External"/><Relationship Id="rId210" Type="http://schemas.openxmlformats.org/officeDocument/2006/relationships/hyperlink" Target="https://ioc.unesco.org/" TargetMode="External"/><Relationship Id="rId215" Type="http://schemas.openxmlformats.org/officeDocument/2006/relationships/hyperlink" Target="https://www.routledge.com/Sacred-Ecology/Berkes/p/book/9781138073047" TargetMode="External"/><Relationship Id="rId26" Type="http://schemas.openxmlformats.org/officeDocument/2006/relationships/hyperlink" Target="https://www.unep.org/resources/2023" TargetMode="External"/><Relationship Id="rId231" Type="http://schemas.openxmlformats.org/officeDocument/2006/relationships/hyperlink" Target="https://www.fao.org/partnerships/south-south-cooperation/en/" TargetMode="External"/><Relationship Id="rId47" Type="http://schemas.openxmlformats.org/officeDocument/2006/relationships/hyperlink" Target="https://www.interpol.int/en/Crimes/Maritime-crime" TargetMode="External"/><Relationship Id="rId68" Type="http://schemas.openxmlformats.org/officeDocument/2006/relationships/hyperlink" Target="https://doi.org/10.1016/j.marpol.2018.11.035" TargetMode="External"/><Relationship Id="rId89" Type="http://schemas.openxmlformats.org/officeDocument/2006/relationships/hyperlink" Target="https://global.oup.com/academic/product/the-making-of-international-law-9780199552158" TargetMode="External"/><Relationship Id="rId112" Type="http://schemas.openxmlformats.org/officeDocument/2006/relationships/hyperlink" Target="https://www.goosocean.org/" TargetMode="External"/><Relationship Id="rId133" Type="http://schemas.openxmlformats.org/officeDocument/2006/relationships/hyperlink" Target="https://www.fao.org/documents/card/en/c/I4356EN/" TargetMode="External"/><Relationship Id="rId154" Type="http://schemas.openxmlformats.org/officeDocument/2006/relationships/hyperlink" Target="https://ungc-communications-assets.s3.amazonaws.com/docs/publications/Ocean_Principles.pdf" TargetMode="External"/><Relationship Id="rId175" Type="http://schemas.openxmlformats.org/officeDocument/2006/relationships/hyperlink" Target="https://www.un.org/depts/los/general_assembly/general_assembly_resolutions.htm" TargetMode="External"/><Relationship Id="rId196" Type="http://schemas.openxmlformats.org/officeDocument/2006/relationships/hyperlink" Target="https://www.forumsec.org/" TargetMode="External"/><Relationship Id="rId200" Type="http://schemas.openxmlformats.org/officeDocument/2006/relationships/hyperlink" Target="https://mitpress.mit.edu/9780262740250/the-institutional-dimensions-of-environmental-change/" TargetMode="External"/><Relationship Id="rId16" Type="http://schemas.openxmlformats.org/officeDocument/2006/relationships/hyperlink" Target="https://www.wiley.com/en-us/Global+Transformations-p-9780804736273" TargetMode="External"/><Relationship Id="rId221" Type="http://schemas.openxmlformats.org/officeDocument/2006/relationships/hyperlink" Target="https://www.cambridge.org/core/books/environmental-regimes-integration-and-robustness/77836A0054F5E608C7DEB84B0945485D" TargetMode="External"/><Relationship Id="rId37" Type="http://schemas.openxmlformats.org/officeDocument/2006/relationships/hyperlink" Target="https://www.cbd.int/" TargetMode="External"/><Relationship Id="rId58" Type="http://schemas.openxmlformats.org/officeDocument/2006/relationships/hyperlink" Target="https://brill.com/display/title/18472" TargetMode="External"/><Relationship Id="rId79" Type="http://schemas.openxmlformats.org/officeDocument/2006/relationships/hyperlink" Target="https://doi.org/10.2307/2999300" TargetMode="External"/><Relationship Id="rId102" Type="http://schemas.openxmlformats.org/officeDocument/2006/relationships/hyperlink" Target="https://doi.org/10.1016/j.marpol.2020.103994" TargetMode="External"/><Relationship Id="rId123" Type="http://schemas.openxmlformats.org/officeDocument/2006/relationships/hyperlink" Target="https://www.sciencedirect.com/science/article/pii/S0308597X18305670" TargetMode="External"/><Relationship Id="rId144" Type="http://schemas.openxmlformats.org/officeDocument/2006/relationships/hyperlink" Target="https://www.sciencedirect.com/science/article/pii/S0308597X13000636" TargetMode="External"/><Relationship Id="rId90" Type="http://schemas.openxmlformats.org/officeDocument/2006/relationships/hyperlink" Target="https://global.oup.com/academic/product/the-international-law-of-the-sea-9781107437531" TargetMode="External"/><Relationship Id="rId165" Type="http://schemas.openxmlformats.org/officeDocument/2006/relationships/hyperlink" Target="https://www.sciencedirect.com/science/article/pii/S0964569108000238" TargetMode="External"/><Relationship Id="rId186" Type="http://schemas.openxmlformats.org/officeDocument/2006/relationships/hyperlink" Target="https://sdgs.un.org/goals" TargetMode="External"/><Relationship Id="rId211" Type="http://schemas.openxmlformats.org/officeDocument/2006/relationships/hyperlink" Target="https://www.thegef.org/projects" TargetMode="External"/><Relationship Id="rId232" Type="http://schemas.openxmlformats.org/officeDocument/2006/relationships/hyperlink" Target="https://www.unep.org/" TargetMode="External"/><Relationship Id="rId27" Type="http://schemas.openxmlformats.org/officeDocument/2006/relationships/hyperlink" Target="https://www.un.org/oceancapacity" TargetMode="External"/><Relationship Id="rId48" Type="http://schemas.openxmlformats.org/officeDocument/2006/relationships/hyperlink" Target="https://doi.org/10.1016/j.marpol.2025.105861" TargetMode="External"/><Relationship Id="rId69" Type="http://schemas.openxmlformats.org/officeDocument/2006/relationships/hyperlink" Target="https://doi.org/10.2307/3078608" TargetMode="External"/><Relationship Id="rId113" Type="http://schemas.openxmlformats.org/officeDocument/2006/relationships/hyperlink" Target="https://global.oup.com/academic/product/earth-system-governance-9780262013910" TargetMode="External"/><Relationship Id="rId134" Type="http://schemas.openxmlformats.org/officeDocument/2006/relationships/hyperlink" Target="https://www.fao.org/publications/card/en/c/ca9231en/" TargetMode="External"/><Relationship Id="rId80" Type="http://schemas.openxmlformats.org/officeDocument/2006/relationships/hyperlink" Target="https://doi.org/10.1017/CBO9780511494154" TargetMode="External"/><Relationship Id="rId155" Type="http://schemas.openxmlformats.org/officeDocument/2006/relationships/hyperlink" Target="https://unesdoc.unesco.org/ark:/48223/pf0000259890" TargetMode="External"/><Relationship Id="rId176" Type="http://schemas.openxmlformats.org/officeDocument/2006/relationships/hyperlink" Target="https://www.sciencedirect.com/science/article/pii/S0308597X15001893" TargetMode="External"/><Relationship Id="rId197" Type="http://schemas.openxmlformats.org/officeDocument/2006/relationships/hyperlink" Target="https://www.sciencedirect.com/science/article/pii/S0308597X14000246" TargetMode="External"/><Relationship Id="rId201" Type="http://schemas.openxmlformats.org/officeDocument/2006/relationships/hyperlink" Target="https://www.fao.org/3/i5991e/i5991e.pdf" TargetMode="External"/><Relationship Id="rId222" Type="http://schemas.openxmlformats.org/officeDocument/2006/relationships/hyperlink" Target="https://au.int/en/documents/20201016/african-union-blue-economy-strategy" TargetMode="External"/><Relationship Id="rId17" Type="http://schemas.openxmlformats.org/officeDocument/2006/relationships/hyperlink" Target="https://mitpress.mit.edu/9780262740243/governing-complex-systems/" TargetMode="External"/><Relationship Id="rId38" Type="http://schemas.openxmlformats.org/officeDocument/2006/relationships/hyperlink" Target="https://www.fao.org/home/en" TargetMode="External"/><Relationship Id="rId59" Type="http://schemas.openxmlformats.org/officeDocument/2006/relationships/hyperlink" Target="https://doi.org/10.1093/acprof:oso/9780199564038.003.0002" TargetMode="External"/><Relationship Id="rId103" Type="http://schemas.openxmlformats.org/officeDocument/2006/relationships/hyperlink" Target="https://www.fao.org/documents/card/en/c/I4356EN/" TargetMode="External"/><Relationship Id="rId124" Type="http://schemas.openxmlformats.org/officeDocument/2006/relationships/hyperlink" Target="https://www.cbd.int/conferences/2022-2024/cop-15" TargetMode="External"/><Relationship Id="rId70" Type="http://schemas.openxmlformats.org/officeDocument/2006/relationships/hyperlink" Target="https://www.hup.harvard.edu/books/9780674151760" TargetMode="External"/><Relationship Id="rId91" Type="http://schemas.openxmlformats.org/officeDocument/2006/relationships/hyperlink" Target="https://www.un.org/depts/los/general_assembly/general_assembly_reports.htm" TargetMode="External"/><Relationship Id="rId145" Type="http://schemas.openxmlformats.org/officeDocument/2006/relationships/hyperlink" Target="https://ioc.unesco.org/" TargetMode="External"/><Relationship Id="rId166" Type="http://schemas.openxmlformats.org/officeDocument/2006/relationships/hyperlink" Target="https://sdgs.un.org/partnerships/action-networks/ocean-commitments" TargetMode="External"/><Relationship Id="rId187" Type="http://schemas.openxmlformats.org/officeDocument/2006/relationships/hyperlink" Target="https://www.cbd.int/nbsap/" TargetMode="External"/><Relationship Id="rId1" Type="http://schemas.openxmlformats.org/officeDocument/2006/relationships/numbering" Target="numbering.xml"/><Relationship Id="rId212" Type="http://schemas.openxmlformats.org/officeDocument/2006/relationships/hyperlink" Target="https://www.sciencedirect.com/science/article/pii/S0308597X14000246" TargetMode="External"/><Relationship Id="rId233" Type="http://schemas.openxmlformats.org/officeDocument/2006/relationships/fontTable" Target="fontTable.xml"/><Relationship Id="rId28" Type="http://schemas.openxmlformats.org/officeDocument/2006/relationships/hyperlink" Target="https://doi.org/10.1787/blue-economy" TargetMode="External"/><Relationship Id="rId49" Type="http://schemas.openxmlformats.org/officeDocument/2006/relationships/hyperlink" Target="https://www.undrr.org/" TargetMode="External"/><Relationship Id="rId114" Type="http://schemas.openxmlformats.org/officeDocument/2006/relationships/hyperlink" Target="https://www.sciencedirect.com/science/article/pii/S0308597X15001893" TargetMode="External"/><Relationship Id="rId60" Type="http://schemas.openxmlformats.org/officeDocument/2006/relationships/hyperlink" Target="https://global.oup.com/academic/product/commitment-and-compliance-9780199270984" TargetMode="External"/><Relationship Id="rId81" Type="http://schemas.openxmlformats.org/officeDocument/2006/relationships/hyperlink" Target="https://doi.org/10.1162/002081800551334" TargetMode="External"/><Relationship Id="rId135" Type="http://schemas.openxmlformats.org/officeDocument/2006/relationships/hyperlink" Target="https://www.sciencedirect.com/science/article/pii/S0308597X15002235" TargetMode="External"/><Relationship Id="rId156" Type="http://schemas.openxmlformats.org/officeDocument/2006/relationships/hyperlink" Target="https://www.sciencedirect.com/science/article/pii/S0308597X1930779X" TargetMode="External"/><Relationship Id="rId177" Type="http://schemas.openxmlformats.org/officeDocument/2006/relationships/hyperlink" Target="https://link.springer.com/chapter/10.1007/978-3-319-46433-3_6" TargetMode="External"/><Relationship Id="rId198" Type="http://schemas.openxmlformats.org/officeDocument/2006/relationships/hyperlink" Target="https://unesdoc.unesco.org/ark:/48223/pf0000259890" TargetMode="External"/><Relationship Id="rId202" Type="http://schemas.openxmlformats.org/officeDocument/2006/relationships/hyperlink" Target="https://www.icao.int/" TargetMode="External"/><Relationship Id="rId223" Type="http://schemas.openxmlformats.org/officeDocument/2006/relationships/hyperlink" Target="https://oceans-and-fisheries.ec.europa.eu/" TargetMode="External"/><Relationship Id="rId18" Type="http://schemas.openxmlformats.org/officeDocument/2006/relationships/hyperlink" Target="https://mitpress.mit.edu/9780262017130/global-environmental-governance-reconsidered/" TargetMode="External"/><Relationship Id="rId39" Type="http://schemas.openxmlformats.org/officeDocument/2006/relationships/hyperlink" Target="https://unctad.org/webflyer/trade-and-environment-review-2014" TargetMode="External"/><Relationship Id="rId50" Type="http://schemas.openxmlformats.org/officeDocument/2006/relationships/hyperlink" Target="https://globaloceanalliance.org/" TargetMode="External"/><Relationship Id="rId104" Type="http://schemas.openxmlformats.org/officeDocument/2006/relationships/hyperlink" Target="https://www.routledge.com/Sacred-Ecology/Berkes/p/book/9781138073047" TargetMode="External"/><Relationship Id="rId125" Type="http://schemas.openxmlformats.org/officeDocument/2006/relationships/hyperlink" Target="https://unesdoc.unesco.org/ark:/48223/pf0000259890" TargetMode="External"/><Relationship Id="rId146" Type="http://schemas.openxmlformats.org/officeDocument/2006/relationships/hyperlink" Target="https://www.sciencedirect.com/science/article/pii/S0308597X15001893" TargetMode="External"/><Relationship Id="rId167" Type="http://schemas.openxmlformats.org/officeDocument/2006/relationships/hyperlink" Target="https://www.routledge.com/Global-Environmental-Politics/Chasek-Downie-Brown/p/book/9780813348467" TargetMode="External"/><Relationship Id="rId188" Type="http://schemas.openxmlformats.org/officeDocument/2006/relationships/hyperlink" Target="https://www.cambridge.org/core/books/environmental-regimes-integration-and-robustness/77836A0054F5E608C7DEB84B0945485D" TargetMode="External"/><Relationship Id="rId71" Type="http://schemas.openxmlformats.org/officeDocument/2006/relationships/hyperlink" Target="https://global.oup.com/academic/product/international-law-and-the-environment-9780198712164" TargetMode="External"/><Relationship Id="rId92" Type="http://schemas.openxmlformats.org/officeDocument/2006/relationships/hyperlink" Target="https://doi.org/10.1016/j.marpol.2008.03.008" TargetMode="External"/><Relationship Id="rId213" Type="http://schemas.openxmlformats.org/officeDocument/2006/relationships/hyperlink" Target="https://www.goosocean.org/" TargetMode="External"/><Relationship Id="rId234"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undp.org/ocean-governance" TargetMode="External"/><Relationship Id="rId40" Type="http://schemas.openxmlformats.org/officeDocument/2006/relationships/hyperlink" Target="https://doi.org/10.1787/blue-economy-outlook" TargetMode="External"/><Relationship Id="rId115" Type="http://schemas.openxmlformats.org/officeDocument/2006/relationships/hyperlink" Target="https://www.fao.org/strategic-framework/en/" TargetMode="External"/><Relationship Id="rId136" Type="http://schemas.openxmlformats.org/officeDocument/2006/relationships/hyperlink" Target="https://www.imo.org/en/OurWork/TechnicalCooperation/Pages/ITCP.aspx" TargetMode="External"/><Relationship Id="rId157" Type="http://schemas.openxmlformats.org/officeDocument/2006/relationships/hyperlink" Target="https://www.ipcc.ch/srccl/" TargetMode="External"/><Relationship Id="rId178" Type="http://schemas.openxmlformats.org/officeDocument/2006/relationships/hyperlink" Target="https://www.unep.org/explore-topics/oceans-seas/what-we-do/regional-seas-programme" TargetMode="External"/><Relationship Id="rId61" Type="http://schemas.openxmlformats.org/officeDocument/2006/relationships/hyperlink" Target="https://doi.org/10.1162/002081800551334" TargetMode="External"/><Relationship Id="rId82" Type="http://schemas.openxmlformats.org/officeDocument/2006/relationships/hyperlink" Target="https://www.cornellpress.cornell.edu/book/9780801489776/rules-for-the-world/" TargetMode="External"/><Relationship Id="rId199" Type="http://schemas.openxmlformats.org/officeDocument/2006/relationships/hyperlink" Target="https://www.goosocean.org/" TargetMode="External"/><Relationship Id="rId203" Type="http://schemas.openxmlformats.org/officeDocument/2006/relationships/hyperlink" Target="https://www.taylorfrancis.com/books/mono/10.4324/9780203757716/integrating-environmental-management-ocean-coastal-policies-biliana-cicin-sain-robert-knecht" TargetMode="External"/><Relationship Id="rId19" Type="http://schemas.openxmlformats.org/officeDocument/2006/relationships/hyperlink" Target="https://science.sciencemag.org/content/325/5939/419" TargetMode="External"/><Relationship Id="rId224" Type="http://schemas.openxmlformats.org/officeDocument/2006/relationships/hyperlink" Target="https://www.taylorfrancis.com/books/mono/10.4324/9781315083972/activists-beyond-borders-margaret-keck-kathryn-sikkink" TargetMode="External"/><Relationship Id="rId30" Type="http://schemas.openxmlformats.org/officeDocument/2006/relationships/hyperlink" Target="https://doi.org/10.1016/j.marpol.2023.105790" TargetMode="External"/><Relationship Id="rId105" Type="http://schemas.openxmlformats.org/officeDocument/2006/relationships/hyperlink" Target="https://wedocs.unep.org/20.500.11822/7661" TargetMode="External"/><Relationship Id="rId126" Type="http://schemas.openxmlformats.org/officeDocument/2006/relationships/hyperlink" Target="https://www.sciencedirect.com/science/article/pii/S0308597X1930779X" TargetMode="External"/><Relationship Id="rId147" Type="http://schemas.openxmlformats.org/officeDocument/2006/relationships/hyperlink" Target="https://www.unep.org/explore-topics/oceans-seas/what-we-do/regional-seas-programme" TargetMode="External"/><Relationship Id="rId168" Type="http://schemas.openxmlformats.org/officeDocument/2006/relationships/hyperlink" Target="https://www.un.org/depts/los/oceans_agenda_ocean_conference/conferencereports.htm" TargetMode="External"/><Relationship Id="rId51" Type="http://schemas.openxmlformats.org/officeDocument/2006/relationships/hyperlink" Target="https://doi.org/10.1016/j.marpol.2025.106137" TargetMode="External"/><Relationship Id="rId72" Type="http://schemas.openxmlformats.org/officeDocument/2006/relationships/hyperlink" Target="https://doi.org/10.1093/acprof:oso/9780199564038.003.0002" TargetMode="External"/><Relationship Id="rId93" Type="http://schemas.openxmlformats.org/officeDocument/2006/relationships/hyperlink" Target="https://doi.org/10.1016/j.marpol.2018.11.035" TargetMode="External"/><Relationship Id="rId189" Type="http://schemas.openxmlformats.org/officeDocument/2006/relationships/hyperlink" Target="https://www.pemsea.org/" TargetMode="External"/><Relationship Id="rId3" Type="http://schemas.openxmlformats.org/officeDocument/2006/relationships/settings" Target="settings.xml"/><Relationship Id="rId214" Type="http://schemas.openxmlformats.org/officeDocument/2006/relationships/hyperlink" Target="https://www.unep.org/explore-topics/oceans-seas/what-we-do/regional-seas-programme" TargetMode="External"/><Relationship Id="rId116" Type="http://schemas.openxmlformats.org/officeDocument/2006/relationships/hyperlink" Target="https://unctad.org/webflyer/review-maritime-transport-2014" TargetMode="External"/><Relationship Id="rId137" Type="http://schemas.openxmlformats.org/officeDocument/2006/relationships/hyperlink" Target="https://www.routledge.com/Sacred-Ecology/Berkes/p/book/9781138073047" TargetMode="External"/><Relationship Id="rId158" Type="http://schemas.openxmlformats.org/officeDocument/2006/relationships/hyperlink" Target="https://global.oup.com/academic/product/the-making-of-international-law-9780199213790"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10983</Words>
  <Characters>62609</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Ibukun Adewumi</dc:creator>
  <cp:keywords/>
  <dc:description/>
  <cp:lastModifiedBy>Ibukun Adewumi</cp:lastModifiedBy>
  <cp:revision>4</cp:revision>
  <dcterms:created xsi:type="dcterms:W3CDTF">2025-08-21T11:53:00Z</dcterms:created>
  <dcterms:modified xsi:type="dcterms:W3CDTF">2025-08-21T12:00:00Z</dcterms:modified>
</cp:coreProperties>
</file>