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4C5C"/>
          <w:sz w:val="36"/>
        </w:rPr>
        <w:t>Appendix 5.A</w:t>
        <w:br/>
      </w:r>
      <w:r>
        <w:rPr>
          <w:b/>
          <w:color w:val="0F4C5C"/>
          <w:sz w:val="32"/>
        </w:rPr>
        <w:t>Computational Methods, Tools, Packages, Data Archive, and Code Record for Chapter 5</w:t>
      </w:r>
    </w:p>
    <w:p>
      <w:pPr>
        <w:jc w:val="center"/>
      </w:pPr>
      <w:r>
        <w:rPr>
          <w:i/>
          <w:sz w:val="22"/>
        </w:rPr>
        <w:t>Fragmentation, Coordination, and Functional Differentiation in Global Ocean Economy Governance</w:t>
      </w:r>
    </w:p>
    <w:p>
      <w:pPr>
        <w:pStyle w:val="AppendixNote"/>
      </w:pPr>
      <w:r>
        <w:t>This appendix is designed as a stand-alone audit trail for Chapter 5. It explains the data inputs, computational methods, R tools and package families, intermediate outputs, quality-assurance checks, and archived code used to generate the tables and figures in Chapter 5. The executable scripts remain in the Chapter 5 data archive; the code listings reproduced here are included for inspection and transparency.</w:t>
      </w:r>
    </w:p>
    <w:p>
      <w:pPr>
        <w:pStyle w:val="Heading1"/>
      </w:pPr>
      <w:r>
        <w:t>A5.1 Purpose and relationship to Chapter 5</w:t>
      </w:r>
    </w:p>
    <w:p>
      <w:pPr>
        <w:spacing w:after="120"/>
      </w:pPr>
      <w:r>
        <w:t>Chapter 5 uses the Attribute Matrix and its dual-normalised category profiles to examine three analytical dimensions: institutional incongruence, relational coordination, and functional differentiation. This appendix documents how those analyses were translated into reproducible computational procedures. It is intended to help readers locate the files behind each result and understand the methods, packages, and code used to generate the empirical outputs.</w:t>
      </w:r>
    </w:p>
    <w:p>
      <w:pPr>
        <w:spacing w:after="120"/>
      </w:pPr>
      <w:r>
        <w:t>The appendix does not replace the methodological account in Chapters 3 and 4. Instead, it provides the Chapter 5-specific computational record: how the already constructed Attribute Matrix was used to generate dyadic similarity scores, thresholded relational networks, centrality statistics, functional score exports, and final figure-ready outputs.</w:t>
      </w:r>
    </w:p>
    <w:p>
      <w:pPr>
        <w:pStyle w:val="Heading1"/>
      </w:pPr>
      <w:r>
        <w:t>A5.2 Archive structure and principal file locations</w:t>
      </w:r>
    </w:p>
    <w:p>
      <w:pPr>
        <w:spacing w:after="120"/>
      </w:pPr>
      <w:r>
        <w:t>The Chapter 5 archive is organised by data provenance rather than by figure number. Raw inputs, processed analytical outputs, scripts, final figures, and quality-assurance files are separated so that each table or figure can be traced back to its immediate source file and, where relevant, to the underlying Attribute Matrix workbooks.</w:t>
      </w:r>
    </w:p>
    <w:tbl>
      <w:tblPr>
        <w:tblStyle w:val="TableGrid"/>
        <w:tblW w:type="auto" w:w="0"/>
        <w:jc w:val="center"/>
        <w:tblLook w:firstColumn="1" w:firstRow="1" w:lastColumn="0" w:lastRow="0" w:noHBand="0" w:noVBand="1" w:val="04A0"/>
      </w:tblPr>
      <w:tblGrid>
        <w:gridCol w:w="5040"/>
        <w:gridCol w:w="5040"/>
      </w:tblGrid>
      <w:tr>
        <w:tc>
          <w:tcPr>
            <w:tcW w:type="dxa" w:w="3744"/>
            <w:vAlign w:val="top"/>
            <w:shd w:fill="D9EAF7"/>
          </w:tcPr>
          <w:p>
            <w:pPr>
              <w:spacing w:after="0" w:line="240" w:lineRule="auto"/>
            </w:pPr>
            <w:r/>
            <w:r>
              <w:rPr>
                <w:b/>
                <w:sz w:val="16"/>
              </w:rPr>
              <w:t>Archive path</w:t>
            </w:r>
          </w:p>
        </w:tc>
        <w:tc>
          <w:tcPr>
            <w:tcW w:type="dxa" w:w="7056"/>
            <w:vAlign w:val="top"/>
            <w:shd w:fill="D9EAF7"/>
          </w:tcPr>
          <w:p>
            <w:pPr>
              <w:spacing w:after="0" w:line="240" w:lineRule="auto"/>
            </w:pPr>
            <w:r/>
            <w:r>
              <w:rPr>
                <w:b/>
                <w:sz w:val="16"/>
              </w:rPr>
              <w:t>Contents and purpose</w:t>
            </w:r>
          </w:p>
        </w:tc>
      </w:tr>
      <w:tr>
        <w:tc>
          <w:tcPr>
            <w:tcW w:type="dxa" w:w="3744"/>
            <w:vAlign w:val="top"/>
          </w:tcPr>
          <w:p>
            <w:pPr>
              <w:spacing w:after="0" w:line="240" w:lineRule="auto"/>
            </w:pPr>
            <w:r/>
            <w:r>
              <w:rPr>
                <w:b w:val="0"/>
                <w:sz w:val="16"/>
              </w:rPr>
              <w:t>00_documentation/</w:t>
            </w:r>
          </w:p>
        </w:tc>
        <w:tc>
          <w:tcPr>
            <w:tcW w:type="dxa" w:w="7056"/>
            <w:vAlign w:val="top"/>
          </w:tcPr>
          <w:p>
            <w:pPr>
              <w:spacing w:after="0" w:line="240" w:lineRule="auto"/>
            </w:pPr>
            <w:r/>
            <w:r>
              <w:rPr>
                <w:b w:val="0"/>
                <w:sz w:val="16"/>
              </w:rPr>
              <w:t>Methodological reference documents, archive notes, and this appendix.</w:t>
            </w:r>
          </w:p>
        </w:tc>
      </w:tr>
      <w:tr>
        <w:tc>
          <w:tcPr>
            <w:tcW w:type="dxa" w:w="3744"/>
            <w:vAlign w:val="top"/>
          </w:tcPr>
          <w:p>
            <w:pPr>
              <w:spacing w:after="0" w:line="240" w:lineRule="auto"/>
            </w:pPr>
            <w:r/>
            <w:r>
              <w:rPr>
                <w:b w:val="0"/>
                <w:sz w:val="16"/>
              </w:rPr>
              <w:t>01_raw_inputs/normalised_attribute_workbooks/</w:t>
            </w:r>
          </w:p>
        </w:tc>
        <w:tc>
          <w:tcPr>
            <w:tcW w:type="dxa" w:w="7056"/>
            <w:vAlign w:val="top"/>
          </w:tcPr>
          <w:p>
            <w:pPr>
              <w:spacing w:after="0" w:line="240" w:lineRule="auto"/>
            </w:pPr>
            <w:r/>
            <w:r>
              <w:rPr>
                <w:b w:val="0"/>
                <w:sz w:val="16"/>
              </w:rPr>
              <w:t>Normalised Attribute Matrix workbooks used as Chapter 5 input files.</w:t>
            </w:r>
          </w:p>
        </w:tc>
      </w:tr>
      <w:tr>
        <w:tc>
          <w:tcPr>
            <w:tcW w:type="dxa" w:w="3744"/>
            <w:vAlign w:val="top"/>
          </w:tcPr>
          <w:p>
            <w:pPr>
              <w:spacing w:after="0" w:line="240" w:lineRule="auto"/>
            </w:pPr>
            <w:r/>
            <w:r>
              <w:rPr>
                <w:b w:val="0"/>
                <w:sz w:val="16"/>
              </w:rPr>
              <w:t>02_processed_outputs/section_5_2_institutional_incongruence/</w:t>
            </w:r>
          </w:p>
        </w:tc>
        <w:tc>
          <w:tcPr>
            <w:tcW w:type="dxa" w:w="7056"/>
            <w:vAlign w:val="top"/>
          </w:tcPr>
          <w:p>
            <w:pPr>
              <w:spacing w:after="0" w:line="240" w:lineRule="auto"/>
            </w:pPr>
            <w:r/>
            <w:r>
              <w:rPr>
                <w:b w:val="0"/>
                <w:sz w:val="16"/>
              </w:rPr>
              <w:t>Dyadic mandate-relational similarity outputs, delta-incongruence statistics, highest-incongruence dyads, and retained Figure 5.3 mandate-overlap edge list.</w:t>
            </w:r>
          </w:p>
        </w:tc>
      </w:tr>
      <w:tr>
        <w:tc>
          <w:tcPr>
            <w:tcW w:type="dxa" w:w="3744"/>
            <w:vAlign w:val="top"/>
          </w:tcPr>
          <w:p>
            <w:pPr>
              <w:spacing w:after="0" w:line="240" w:lineRule="auto"/>
            </w:pPr>
            <w:r/>
            <w:r>
              <w:rPr>
                <w:b w:val="0"/>
                <w:sz w:val="16"/>
              </w:rPr>
              <w:t>02_processed_outputs/section_5_3_relational_coordination/</w:t>
            </w:r>
          </w:p>
        </w:tc>
        <w:tc>
          <w:tcPr>
            <w:tcW w:type="dxa" w:w="7056"/>
            <w:vAlign w:val="top"/>
          </w:tcPr>
          <w:p>
            <w:pPr>
              <w:spacing w:after="0" w:line="240" w:lineRule="auto"/>
            </w:pPr>
            <w:r/>
            <w:r>
              <w:rPr>
                <w:b w:val="0"/>
                <w:sz w:val="16"/>
              </w:rPr>
              <w:t>q90 relational network edge list, node centrality metrics, and network-level statistics.</w:t>
            </w:r>
          </w:p>
        </w:tc>
      </w:tr>
      <w:tr>
        <w:tc>
          <w:tcPr>
            <w:tcW w:type="dxa" w:w="3744"/>
            <w:vAlign w:val="top"/>
          </w:tcPr>
          <w:p>
            <w:pPr>
              <w:spacing w:after="0" w:line="240" w:lineRule="auto"/>
            </w:pPr>
            <w:r/>
            <w:r>
              <w:rPr>
                <w:b w:val="0"/>
                <w:sz w:val="16"/>
              </w:rPr>
              <w:t>02_processed_outputs/section_5_4_functional_differentiation/</w:t>
            </w:r>
          </w:p>
        </w:tc>
        <w:tc>
          <w:tcPr>
            <w:tcW w:type="dxa" w:w="7056"/>
            <w:vAlign w:val="top"/>
          </w:tcPr>
          <w:p>
            <w:pPr>
              <w:spacing w:after="0" w:line="240" w:lineRule="auto"/>
            </w:pPr>
            <w:r/>
            <w:r>
              <w:rPr>
                <w:b w:val="0"/>
                <w:sz w:val="16"/>
              </w:rPr>
              <w:t>Full 48-IGO regulatory-delivery scores, technical-rule/guardrail scores, orientation classes, and figure-ready functional outputs.</w:t>
            </w:r>
          </w:p>
        </w:tc>
      </w:tr>
      <w:tr>
        <w:tc>
          <w:tcPr>
            <w:tcW w:type="dxa" w:w="3744"/>
            <w:vAlign w:val="top"/>
          </w:tcPr>
          <w:p>
            <w:pPr>
              <w:spacing w:after="0" w:line="240" w:lineRule="auto"/>
            </w:pPr>
            <w:r/>
            <w:r>
              <w:rPr>
                <w:b w:val="0"/>
                <w:sz w:val="16"/>
              </w:rPr>
              <w:t>03_scripts/R/</w:t>
            </w:r>
          </w:p>
        </w:tc>
        <w:tc>
          <w:tcPr>
            <w:tcW w:type="dxa" w:w="7056"/>
            <w:vAlign w:val="top"/>
          </w:tcPr>
          <w:p>
            <w:pPr>
              <w:spacing w:after="0" w:line="240" w:lineRule="auto"/>
            </w:pPr>
            <w:r/>
            <w:r>
              <w:rPr>
                <w:b w:val="0"/>
                <w:sz w:val="16"/>
              </w:rPr>
              <w:t>R scripts for setup, figure/table reproduction, network analysis, and functional score checks.</w:t>
            </w:r>
          </w:p>
        </w:tc>
      </w:tr>
      <w:tr>
        <w:tc>
          <w:tcPr>
            <w:tcW w:type="dxa" w:w="3744"/>
            <w:vAlign w:val="top"/>
          </w:tcPr>
          <w:p>
            <w:pPr>
              <w:spacing w:after="0" w:line="240" w:lineRule="auto"/>
            </w:pPr>
            <w:r/>
            <w:r>
              <w:rPr>
                <w:b w:val="0"/>
                <w:sz w:val="16"/>
              </w:rPr>
              <w:t>04_figures/final/</w:t>
            </w:r>
          </w:p>
        </w:tc>
        <w:tc>
          <w:tcPr>
            <w:tcW w:type="dxa" w:w="7056"/>
            <w:vAlign w:val="top"/>
          </w:tcPr>
          <w:p>
            <w:pPr>
              <w:spacing w:after="0" w:line="240" w:lineRule="auto"/>
            </w:pPr>
            <w:r/>
            <w:r>
              <w:rPr>
                <w:b w:val="0"/>
                <w:sz w:val="16"/>
              </w:rPr>
              <w:t>Final figure files in PNG, PDF, and SVG where available.</w:t>
            </w:r>
          </w:p>
        </w:tc>
      </w:tr>
      <w:tr>
        <w:tc>
          <w:tcPr>
            <w:tcW w:type="dxa" w:w="3744"/>
            <w:vAlign w:val="top"/>
          </w:tcPr>
          <w:p>
            <w:pPr>
              <w:spacing w:after="0" w:line="240" w:lineRule="auto"/>
            </w:pPr>
            <w:r/>
            <w:r>
              <w:rPr>
                <w:b w:val="0"/>
                <w:sz w:val="16"/>
              </w:rPr>
              <w:t>04_figures/design_drafts/</w:t>
            </w:r>
          </w:p>
        </w:tc>
        <w:tc>
          <w:tcPr>
            <w:tcW w:type="dxa" w:w="7056"/>
            <w:vAlign w:val="top"/>
          </w:tcPr>
          <w:p>
            <w:pPr>
              <w:spacing w:after="0" w:line="240" w:lineRule="auto"/>
            </w:pPr>
            <w:r/>
            <w:r>
              <w:rPr>
                <w:b w:val="0"/>
                <w:sz w:val="16"/>
              </w:rPr>
              <w:t>Design-stage figure drafts retained for visual provenance.</w:t>
            </w:r>
          </w:p>
        </w:tc>
      </w:tr>
      <w:tr>
        <w:tc>
          <w:tcPr>
            <w:tcW w:type="dxa" w:w="3744"/>
            <w:vAlign w:val="top"/>
          </w:tcPr>
          <w:p>
            <w:pPr>
              <w:spacing w:after="0" w:line="240" w:lineRule="auto"/>
            </w:pPr>
            <w:r/>
            <w:r>
              <w:rPr>
                <w:b w:val="0"/>
                <w:sz w:val="16"/>
              </w:rPr>
              <w:t>05_quality_assurance/</w:t>
            </w:r>
          </w:p>
        </w:tc>
        <w:tc>
          <w:tcPr>
            <w:tcW w:type="dxa" w:w="7056"/>
            <w:vAlign w:val="top"/>
          </w:tcPr>
          <w:p>
            <w:pPr>
              <w:spacing w:after="0" w:line="240" w:lineRule="auto"/>
            </w:pPr>
            <w:r/>
            <w:r>
              <w:rPr>
                <w:b w:val="0"/>
                <w:sz w:val="16"/>
              </w:rPr>
              <w:t>Checksum file and reproducibility-status note.</w:t>
            </w:r>
          </w:p>
        </w:tc>
      </w:tr>
      <w:tr>
        <w:tc>
          <w:tcPr>
            <w:tcW w:type="dxa" w:w="3744"/>
            <w:vAlign w:val="top"/>
          </w:tcPr>
          <w:p>
            <w:pPr>
              <w:spacing w:after="0" w:line="240" w:lineRule="auto"/>
            </w:pPr>
            <w:r/>
            <w:r>
              <w:rPr>
                <w:b w:val="0"/>
                <w:sz w:val="16"/>
              </w:rPr>
              <w:t>README.md; MANIFEST.csv; MANIFEST.json; DATA_DICTIONARY.md</w:t>
            </w:r>
          </w:p>
        </w:tc>
        <w:tc>
          <w:tcPr>
            <w:tcW w:type="dxa" w:w="7056"/>
            <w:vAlign w:val="top"/>
          </w:tcPr>
          <w:p>
            <w:pPr>
              <w:spacing w:after="0" w:line="240" w:lineRule="auto"/>
            </w:pPr>
            <w:r/>
            <w:r>
              <w:rPr>
                <w:b w:val="0"/>
                <w:sz w:val="16"/>
              </w:rPr>
              <w:t>Archive-level guidance, file-level descriptions, and variable definitions.</w:t>
            </w:r>
          </w:p>
        </w:tc>
      </w:tr>
    </w:tbl>
    <w:p>
      <w:pPr>
        <w:pStyle w:val="Heading1"/>
      </w:pPr>
      <w:r>
        <w:t>A5.3 Attribute Matrix inputs and normalised profile files</w:t>
      </w:r>
    </w:p>
    <w:p>
      <w:pPr>
        <w:spacing w:after="120"/>
      </w:pPr>
      <w:r>
        <w:t>The normalised workbooks below form the Chapter 5 input layer. Each workbook corresponds to an Attribute Matrix family developed in Chapters 3 and 4. Chapter 5 uses these inputs in either across-IGO form, for comparison across the 48-case field, or within-IGO form, for assessing internal organisational emphasis.</w:t>
      </w:r>
    </w:p>
    <w:tbl>
      <w:tblPr>
        <w:tblStyle w:val="TableGrid"/>
        <w:tblW w:type="auto" w:w="0"/>
        <w:jc w:val="center"/>
        <w:tblLook w:firstColumn="1" w:firstRow="1" w:lastColumn="0" w:lastRow="0" w:noHBand="0" w:noVBand="1" w:val="04A0"/>
      </w:tblPr>
      <w:tblGrid>
        <w:gridCol w:w="5040"/>
        <w:gridCol w:w="5040"/>
      </w:tblGrid>
      <w:tr>
        <w:tc>
          <w:tcPr>
            <w:tcW w:type="dxa" w:w="4752"/>
            <w:vAlign w:val="top"/>
            <w:shd w:fill="D9EAF7"/>
          </w:tcPr>
          <w:p>
            <w:pPr>
              <w:spacing w:after="0" w:line="240" w:lineRule="auto"/>
            </w:pPr>
            <w:r/>
            <w:r>
              <w:rPr>
                <w:b/>
                <w:sz w:val="16"/>
              </w:rPr>
              <w:t>Input workbook</w:t>
            </w:r>
          </w:p>
        </w:tc>
        <w:tc>
          <w:tcPr>
            <w:tcW w:type="dxa" w:w="6048"/>
            <w:vAlign w:val="top"/>
            <w:shd w:fill="D9EAF7"/>
          </w:tcPr>
          <w:p>
            <w:pPr>
              <w:spacing w:after="0" w:line="240" w:lineRule="auto"/>
            </w:pPr>
            <w:r/>
            <w:r>
              <w:rPr>
                <w:b/>
                <w:sz w:val="16"/>
              </w:rPr>
              <w:t>Role in Chapter 5</w:t>
            </w:r>
          </w:p>
        </w:tc>
      </w:tr>
      <w:tr>
        <w:tc>
          <w:tcPr>
            <w:tcW w:type="dxa" w:w="4752"/>
            <w:vAlign w:val="top"/>
          </w:tcPr>
          <w:p>
            <w:pPr>
              <w:spacing w:after="0" w:line="240" w:lineRule="auto"/>
            </w:pPr>
            <w:r/>
            <w:r>
              <w:rPr>
                <w:b w:val="0"/>
                <w:sz w:val="16"/>
              </w:rPr>
              <w:t>spatial_jurisdiction_full_normalised.xlsx</w:t>
            </w:r>
          </w:p>
        </w:tc>
        <w:tc>
          <w:tcPr>
            <w:tcW w:type="dxa" w:w="6048"/>
            <w:vAlign w:val="top"/>
          </w:tcPr>
          <w:p>
            <w:pPr>
              <w:spacing w:after="0" w:line="240" w:lineRule="auto"/>
            </w:pPr>
            <w:r/>
            <w:r>
              <w:rPr>
                <w:b w:val="0"/>
                <w:sz w:val="16"/>
              </w:rPr>
              <w:t>Mandate-space input for spatial jurisdiction.</w:t>
            </w:r>
          </w:p>
        </w:tc>
      </w:tr>
      <w:tr>
        <w:tc>
          <w:tcPr>
            <w:tcW w:type="dxa" w:w="4752"/>
            <w:vAlign w:val="top"/>
          </w:tcPr>
          <w:p>
            <w:pPr>
              <w:spacing w:after="0" w:line="240" w:lineRule="auto"/>
            </w:pPr>
            <w:r/>
            <w:r>
              <w:rPr>
                <w:b w:val="0"/>
                <w:sz w:val="16"/>
              </w:rPr>
              <w:t>subject_matter_jurisdiction_full_normalised.xlsx</w:t>
            </w:r>
          </w:p>
        </w:tc>
        <w:tc>
          <w:tcPr>
            <w:tcW w:type="dxa" w:w="6048"/>
            <w:vAlign w:val="top"/>
          </w:tcPr>
          <w:p>
            <w:pPr>
              <w:spacing w:after="0" w:line="240" w:lineRule="auto"/>
            </w:pPr>
            <w:r/>
            <w:r>
              <w:rPr>
                <w:b w:val="0"/>
                <w:sz w:val="16"/>
              </w:rPr>
              <w:t>Mandate-space input for subject-matter jurisdiction.</w:t>
            </w:r>
          </w:p>
        </w:tc>
      </w:tr>
      <w:tr>
        <w:tc>
          <w:tcPr>
            <w:tcW w:type="dxa" w:w="4752"/>
            <w:vAlign w:val="top"/>
          </w:tcPr>
          <w:p>
            <w:pPr>
              <w:spacing w:after="0" w:line="240" w:lineRule="auto"/>
            </w:pPr>
            <w:r/>
            <w:r>
              <w:rPr>
                <w:b w:val="0"/>
                <w:sz w:val="16"/>
              </w:rPr>
              <w:t>interinstitutional_relationships_full_normalised.xlsx</w:t>
            </w:r>
          </w:p>
        </w:tc>
        <w:tc>
          <w:tcPr>
            <w:tcW w:type="dxa" w:w="6048"/>
            <w:vAlign w:val="top"/>
          </w:tcPr>
          <w:p>
            <w:pPr>
              <w:spacing w:after="0" w:line="240" w:lineRule="auto"/>
            </w:pPr>
            <w:r/>
            <w:r>
              <w:rPr>
                <w:b w:val="0"/>
                <w:sz w:val="16"/>
              </w:rPr>
              <w:t>Relational-space input for documented inter-institutional relationships.</w:t>
            </w:r>
          </w:p>
        </w:tc>
      </w:tr>
      <w:tr>
        <w:tc>
          <w:tcPr>
            <w:tcW w:type="dxa" w:w="4752"/>
            <w:vAlign w:val="top"/>
          </w:tcPr>
          <w:p>
            <w:pPr>
              <w:spacing w:after="0" w:line="240" w:lineRule="auto"/>
            </w:pPr>
            <w:r/>
            <w:r>
              <w:rPr>
                <w:b w:val="0"/>
                <w:sz w:val="16"/>
              </w:rPr>
              <w:t>vertical_coordination_full_normalised.xlsx</w:t>
            </w:r>
          </w:p>
        </w:tc>
        <w:tc>
          <w:tcPr>
            <w:tcW w:type="dxa" w:w="6048"/>
            <w:vAlign w:val="top"/>
          </w:tcPr>
          <w:p>
            <w:pPr>
              <w:spacing w:after="0" w:line="240" w:lineRule="auto"/>
            </w:pPr>
            <w:r/>
            <w:r>
              <w:rPr>
                <w:b w:val="0"/>
                <w:sz w:val="16"/>
              </w:rPr>
              <w:t>Relational-space input for cross-level coordination pathways.</w:t>
            </w:r>
          </w:p>
        </w:tc>
      </w:tr>
      <w:tr>
        <w:tc>
          <w:tcPr>
            <w:tcW w:type="dxa" w:w="4752"/>
            <w:vAlign w:val="top"/>
          </w:tcPr>
          <w:p>
            <w:pPr>
              <w:spacing w:after="0" w:line="240" w:lineRule="auto"/>
            </w:pPr>
            <w:r/>
            <w:r>
              <w:rPr>
                <w:b w:val="0"/>
                <w:sz w:val="16"/>
              </w:rPr>
              <w:t>horizontal_coordination_full_normalised.xlsx</w:t>
            </w:r>
          </w:p>
        </w:tc>
        <w:tc>
          <w:tcPr>
            <w:tcW w:type="dxa" w:w="6048"/>
            <w:vAlign w:val="top"/>
          </w:tcPr>
          <w:p>
            <w:pPr>
              <w:spacing w:after="0" w:line="240" w:lineRule="auto"/>
            </w:pPr>
            <w:r/>
            <w:r>
              <w:rPr>
                <w:b w:val="0"/>
                <w:sz w:val="16"/>
              </w:rPr>
              <w:t>Relational-space input for cross-sectoral and cross-institutional coordination.</w:t>
            </w:r>
          </w:p>
        </w:tc>
      </w:tr>
      <w:tr>
        <w:tc>
          <w:tcPr>
            <w:tcW w:type="dxa" w:w="4752"/>
            <w:vAlign w:val="top"/>
          </w:tcPr>
          <w:p>
            <w:pPr>
              <w:spacing w:after="0" w:line="240" w:lineRule="auto"/>
            </w:pPr>
            <w:r/>
            <w:r>
              <w:rPr>
                <w:b w:val="0"/>
                <w:sz w:val="16"/>
              </w:rPr>
              <w:t>sources_of_jurisdiction_full_normalised.xlsx</w:t>
            </w:r>
          </w:p>
        </w:tc>
        <w:tc>
          <w:tcPr>
            <w:tcW w:type="dxa" w:w="6048"/>
            <w:vAlign w:val="top"/>
          </w:tcPr>
          <w:p>
            <w:pPr>
              <w:spacing w:after="0" w:line="240" w:lineRule="auto"/>
            </w:pPr>
            <w:r/>
            <w:r>
              <w:rPr>
                <w:b w:val="0"/>
                <w:sz w:val="16"/>
              </w:rPr>
              <w:t>Functional-space input for formal authority, obligation, delegation, and oversight categories.</w:t>
            </w:r>
          </w:p>
        </w:tc>
      </w:tr>
      <w:tr>
        <w:tc>
          <w:tcPr>
            <w:tcW w:type="dxa" w:w="4752"/>
            <w:vAlign w:val="top"/>
          </w:tcPr>
          <w:p>
            <w:pPr>
              <w:spacing w:after="0" w:line="240" w:lineRule="auto"/>
            </w:pPr>
            <w:r/>
            <w:r>
              <w:rPr>
                <w:b w:val="0"/>
                <w:sz w:val="16"/>
              </w:rPr>
              <w:t>defined_objectives_full_normalised.xlsx</w:t>
            </w:r>
          </w:p>
        </w:tc>
        <w:tc>
          <w:tcPr>
            <w:tcW w:type="dxa" w:w="6048"/>
            <w:vAlign w:val="top"/>
          </w:tcPr>
          <w:p>
            <w:pPr>
              <w:spacing w:after="0" w:line="240" w:lineRule="auto"/>
            </w:pPr>
            <w:r/>
            <w:r>
              <w:rPr>
                <w:b w:val="0"/>
                <w:sz w:val="16"/>
              </w:rPr>
              <w:t>Functional-space input for objective categories used in technical-rule and guardrail orientation.</w:t>
            </w:r>
          </w:p>
        </w:tc>
      </w:tr>
      <w:tr>
        <w:tc>
          <w:tcPr>
            <w:tcW w:type="dxa" w:w="4752"/>
            <w:vAlign w:val="top"/>
          </w:tcPr>
          <w:p>
            <w:pPr>
              <w:spacing w:after="0" w:line="240" w:lineRule="auto"/>
            </w:pPr>
            <w:r/>
            <w:r>
              <w:rPr>
                <w:b w:val="0"/>
                <w:sz w:val="16"/>
              </w:rPr>
              <w:t>strategies_full_normalised.xlsx</w:t>
            </w:r>
          </w:p>
        </w:tc>
        <w:tc>
          <w:tcPr>
            <w:tcW w:type="dxa" w:w="6048"/>
            <w:vAlign w:val="top"/>
          </w:tcPr>
          <w:p>
            <w:pPr>
              <w:spacing w:after="0" w:line="240" w:lineRule="auto"/>
            </w:pPr>
            <w:r/>
            <w:r>
              <w:rPr>
                <w:b w:val="0"/>
                <w:sz w:val="16"/>
              </w:rPr>
              <w:t>Functional-space input for strategy categories used in delivery, technical-rule, and guardrail orientation.</w:t>
            </w:r>
          </w:p>
        </w:tc>
      </w:tr>
      <w:tr>
        <w:tc>
          <w:tcPr>
            <w:tcW w:type="dxa" w:w="4752"/>
            <w:vAlign w:val="top"/>
          </w:tcPr>
          <w:p>
            <w:pPr>
              <w:spacing w:after="0" w:line="240" w:lineRule="auto"/>
            </w:pPr>
            <w:r/>
            <w:r>
              <w:rPr>
                <w:b w:val="0"/>
                <w:sz w:val="16"/>
              </w:rPr>
              <w:t>year_of_establishment_categories_density.xlsx</w:t>
            </w:r>
          </w:p>
        </w:tc>
        <w:tc>
          <w:tcPr>
            <w:tcW w:type="dxa" w:w="6048"/>
            <w:vAlign w:val="top"/>
          </w:tcPr>
          <w:p>
            <w:pPr>
              <w:spacing w:after="0" w:line="240" w:lineRule="auto"/>
            </w:pPr>
            <w:r/>
            <w:r>
              <w:rPr>
                <w:b w:val="0"/>
                <w:sz w:val="16"/>
              </w:rPr>
              <w:t>Contextual temporal input retained for broader Chapter 5 and thesis interpretation.</w:t>
            </w:r>
          </w:p>
        </w:tc>
      </w:tr>
    </w:tbl>
    <w:p>
      <w:pPr>
        <w:pStyle w:val="Heading1"/>
      </w:pPr>
      <w:r>
        <w:t>A5.4 Computational environment, tools, and package roles</w:t>
      </w:r>
    </w:p>
    <w:p>
      <w:pPr>
        <w:spacing w:after="120"/>
      </w:pPr>
      <w:r>
        <w:t>The workflow is implemented in R. The archive does not hard-code a package-version lockfile; therefore, the local execution environment should be documented by running sessionInfo() after reproduction. Where a final public deposit is prepared, renv::snapshot() can be used to record the package state. The package families and tools below describe the roles used in the Chapter 5 workflow.</w:t>
      </w:r>
    </w:p>
    <w:tbl>
      <w:tblPr>
        <w:tblStyle w:val="TableGrid"/>
        <w:tblW w:type="auto" w:w="0"/>
        <w:jc w:val="center"/>
        <w:tblLook w:firstColumn="1" w:firstRow="1" w:lastColumn="0" w:lastRow="0" w:noHBand="0" w:noVBand="1" w:val="04A0"/>
      </w:tblPr>
      <w:tblGrid>
        <w:gridCol w:w="5040"/>
        <w:gridCol w:w="5040"/>
      </w:tblGrid>
      <w:tr>
        <w:tc>
          <w:tcPr>
            <w:tcW w:type="dxa" w:w="3024"/>
            <w:vAlign w:val="top"/>
            <w:shd w:fill="D9EAF7"/>
          </w:tcPr>
          <w:p>
            <w:pPr>
              <w:spacing w:after="0" w:line="240" w:lineRule="auto"/>
            </w:pPr>
            <w:r/>
            <w:r>
              <w:rPr>
                <w:b/>
                <w:sz w:val="15"/>
              </w:rPr>
              <w:t>Tool or package family</w:t>
            </w:r>
          </w:p>
        </w:tc>
        <w:tc>
          <w:tcPr>
            <w:tcW w:type="dxa" w:w="7776"/>
            <w:vAlign w:val="top"/>
            <w:shd w:fill="D9EAF7"/>
          </w:tcPr>
          <w:p>
            <w:pPr>
              <w:spacing w:after="0" w:line="240" w:lineRule="auto"/>
            </w:pPr>
            <w:r/>
            <w:r>
              <w:rPr>
                <w:b/>
                <w:sz w:val="15"/>
              </w:rPr>
              <w:t>Role in the Chapter 5 workflow</w:t>
            </w:r>
          </w:p>
        </w:tc>
      </w:tr>
      <w:tr>
        <w:tc>
          <w:tcPr>
            <w:tcW w:type="dxa" w:w="3024"/>
            <w:vAlign w:val="top"/>
          </w:tcPr>
          <w:p>
            <w:pPr>
              <w:spacing w:after="0" w:line="240" w:lineRule="auto"/>
            </w:pPr>
            <w:r/>
            <w:r>
              <w:rPr>
                <w:b w:val="0"/>
                <w:sz w:val="15"/>
              </w:rPr>
              <w:t>R / base / stats</w:t>
            </w:r>
          </w:p>
        </w:tc>
        <w:tc>
          <w:tcPr>
            <w:tcW w:type="dxa" w:w="7776"/>
            <w:vAlign w:val="top"/>
          </w:tcPr>
          <w:p>
            <w:pPr>
              <w:spacing w:after="0" w:line="240" w:lineRule="auto"/>
            </w:pPr>
            <w:r/>
            <w:r>
              <w:rPr>
                <w:b w:val="0"/>
                <w:sz w:val="15"/>
              </w:rPr>
              <w:t>Core scripting, pairwise combinations, matrix operations, summary statistics, quantiles, and arithmetic transformations.</w:t>
            </w:r>
          </w:p>
        </w:tc>
      </w:tr>
      <w:tr>
        <w:tc>
          <w:tcPr>
            <w:tcW w:type="dxa" w:w="3024"/>
            <w:vAlign w:val="top"/>
          </w:tcPr>
          <w:p>
            <w:pPr>
              <w:spacing w:after="0" w:line="240" w:lineRule="auto"/>
            </w:pPr>
            <w:r/>
            <w:r>
              <w:rPr>
                <w:b w:val="0"/>
                <w:sz w:val="15"/>
              </w:rPr>
              <w:t>readxl</w:t>
            </w:r>
          </w:p>
        </w:tc>
        <w:tc>
          <w:tcPr>
            <w:tcW w:type="dxa" w:w="7776"/>
            <w:vAlign w:val="top"/>
          </w:tcPr>
          <w:p>
            <w:pPr>
              <w:spacing w:after="0" w:line="240" w:lineRule="auto"/>
            </w:pPr>
            <w:r/>
            <w:r>
              <w:rPr>
                <w:b w:val="0"/>
                <w:sz w:val="15"/>
              </w:rPr>
              <w:t>Import of Attribute Matrix and normalised Excel workbooks.</w:t>
            </w:r>
          </w:p>
        </w:tc>
      </w:tr>
      <w:tr>
        <w:tc>
          <w:tcPr>
            <w:tcW w:type="dxa" w:w="3024"/>
            <w:vAlign w:val="top"/>
          </w:tcPr>
          <w:p>
            <w:pPr>
              <w:spacing w:after="0" w:line="240" w:lineRule="auto"/>
            </w:pPr>
            <w:r/>
            <w:r>
              <w:rPr>
                <w:b w:val="0"/>
                <w:sz w:val="15"/>
              </w:rPr>
              <w:t>readr</w:t>
            </w:r>
          </w:p>
        </w:tc>
        <w:tc>
          <w:tcPr>
            <w:tcW w:type="dxa" w:w="7776"/>
            <w:vAlign w:val="top"/>
          </w:tcPr>
          <w:p>
            <w:pPr>
              <w:spacing w:after="0" w:line="240" w:lineRule="auto"/>
            </w:pPr>
            <w:r/>
            <w:r>
              <w:rPr>
                <w:b w:val="0"/>
                <w:sz w:val="15"/>
              </w:rPr>
              <w:t>CSV import/export for processed outputs and figure-ready files.</w:t>
            </w:r>
          </w:p>
        </w:tc>
      </w:tr>
      <w:tr>
        <w:tc>
          <w:tcPr>
            <w:tcW w:type="dxa" w:w="3024"/>
            <w:vAlign w:val="top"/>
          </w:tcPr>
          <w:p>
            <w:pPr>
              <w:spacing w:after="0" w:line="240" w:lineRule="auto"/>
            </w:pPr>
            <w:r/>
            <w:r>
              <w:rPr>
                <w:b w:val="0"/>
                <w:sz w:val="15"/>
              </w:rPr>
              <w:t>here</w:t>
            </w:r>
          </w:p>
        </w:tc>
        <w:tc>
          <w:tcPr>
            <w:tcW w:type="dxa" w:w="7776"/>
            <w:vAlign w:val="top"/>
          </w:tcPr>
          <w:p>
            <w:pPr>
              <w:spacing w:after="0" w:line="240" w:lineRule="auto"/>
            </w:pPr>
            <w:r/>
            <w:r>
              <w:rPr>
                <w:b w:val="0"/>
                <w:sz w:val="15"/>
              </w:rPr>
              <w:t>Portable relative file paths from the archive root.</w:t>
            </w:r>
          </w:p>
        </w:tc>
      </w:tr>
      <w:tr>
        <w:tc>
          <w:tcPr>
            <w:tcW w:type="dxa" w:w="3024"/>
            <w:vAlign w:val="top"/>
          </w:tcPr>
          <w:p>
            <w:pPr>
              <w:spacing w:after="0" w:line="240" w:lineRule="auto"/>
            </w:pPr>
            <w:r/>
            <w:r>
              <w:rPr>
                <w:b w:val="0"/>
                <w:sz w:val="15"/>
              </w:rPr>
              <w:t>dplyr</w:t>
            </w:r>
          </w:p>
        </w:tc>
        <w:tc>
          <w:tcPr>
            <w:tcW w:type="dxa" w:w="7776"/>
            <w:vAlign w:val="top"/>
          </w:tcPr>
          <w:p>
            <w:pPr>
              <w:spacing w:after="0" w:line="240" w:lineRule="auto"/>
            </w:pPr>
            <w:r/>
            <w:r>
              <w:rPr>
                <w:b w:val="0"/>
                <w:sz w:val="15"/>
              </w:rPr>
              <w:t>Selection, filtering, joining, mutation, summarisation, classification, and ranked outputs.</w:t>
            </w:r>
          </w:p>
        </w:tc>
      </w:tr>
      <w:tr>
        <w:tc>
          <w:tcPr>
            <w:tcW w:type="dxa" w:w="3024"/>
            <w:vAlign w:val="top"/>
          </w:tcPr>
          <w:p>
            <w:pPr>
              <w:spacing w:after="0" w:line="240" w:lineRule="auto"/>
            </w:pPr>
            <w:r/>
            <w:r>
              <w:rPr>
                <w:b w:val="0"/>
                <w:sz w:val="15"/>
              </w:rPr>
              <w:t>tidyr</w:t>
            </w:r>
          </w:p>
        </w:tc>
        <w:tc>
          <w:tcPr>
            <w:tcW w:type="dxa" w:w="7776"/>
            <w:vAlign w:val="top"/>
          </w:tcPr>
          <w:p>
            <w:pPr>
              <w:spacing w:after="0" w:line="240" w:lineRule="auto"/>
            </w:pPr>
            <w:r/>
            <w:r>
              <w:rPr>
                <w:b w:val="0"/>
                <w:sz w:val="15"/>
              </w:rPr>
              <w:t>Wide-to-long and long-to-wide reshaping; endpoint expansion for edge/node summaries.</w:t>
            </w:r>
          </w:p>
        </w:tc>
      </w:tr>
      <w:tr>
        <w:tc>
          <w:tcPr>
            <w:tcW w:type="dxa" w:w="3024"/>
            <w:vAlign w:val="top"/>
          </w:tcPr>
          <w:p>
            <w:pPr>
              <w:spacing w:after="0" w:line="240" w:lineRule="auto"/>
            </w:pPr>
            <w:r/>
            <w:r>
              <w:rPr>
                <w:b w:val="0"/>
                <w:sz w:val="15"/>
              </w:rPr>
              <w:t>stringr</w:t>
            </w:r>
          </w:p>
        </w:tc>
        <w:tc>
          <w:tcPr>
            <w:tcW w:type="dxa" w:w="7776"/>
            <w:vAlign w:val="top"/>
          </w:tcPr>
          <w:p>
            <w:pPr>
              <w:spacing w:after="0" w:line="240" w:lineRule="auto"/>
            </w:pPr>
            <w:r/>
            <w:r>
              <w:rPr>
                <w:b w:val="0"/>
                <w:sz w:val="15"/>
              </w:rPr>
              <w:t>String cleaning and harmonisation of organisation/category labels where required.</w:t>
            </w:r>
          </w:p>
        </w:tc>
      </w:tr>
      <w:tr>
        <w:tc>
          <w:tcPr>
            <w:tcW w:type="dxa" w:w="3024"/>
            <w:vAlign w:val="top"/>
          </w:tcPr>
          <w:p>
            <w:pPr>
              <w:spacing w:after="0" w:line="240" w:lineRule="auto"/>
            </w:pPr>
            <w:r/>
            <w:r>
              <w:rPr>
                <w:b w:val="0"/>
                <w:sz w:val="15"/>
              </w:rPr>
              <w:t>janitor</w:t>
            </w:r>
          </w:p>
        </w:tc>
        <w:tc>
          <w:tcPr>
            <w:tcW w:type="dxa" w:w="7776"/>
            <w:vAlign w:val="top"/>
          </w:tcPr>
          <w:p>
            <w:pPr>
              <w:spacing w:after="0" w:line="240" w:lineRule="auto"/>
            </w:pPr>
            <w:r/>
            <w:r>
              <w:rPr>
                <w:b w:val="0"/>
                <w:sz w:val="15"/>
              </w:rPr>
              <w:t>Column-name cleaning and formatting consistency for imported tables.</w:t>
            </w:r>
          </w:p>
        </w:tc>
      </w:tr>
      <w:tr>
        <w:tc>
          <w:tcPr>
            <w:tcW w:type="dxa" w:w="3024"/>
            <w:vAlign w:val="top"/>
          </w:tcPr>
          <w:p>
            <w:pPr>
              <w:spacing w:after="0" w:line="240" w:lineRule="auto"/>
            </w:pPr>
            <w:r/>
            <w:r>
              <w:rPr>
                <w:b w:val="0"/>
                <w:sz w:val="15"/>
              </w:rPr>
              <w:t>purrr</w:t>
            </w:r>
          </w:p>
        </w:tc>
        <w:tc>
          <w:tcPr>
            <w:tcW w:type="dxa" w:w="7776"/>
            <w:vAlign w:val="top"/>
          </w:tcPr>
          <w:p>
            <w:pPr>
              <w:spacing w:after="0" w:line="240" w:lineRule="auto"/>
            </w:pPr>
            <w:r/>
            <w:r>
              <w:rPr>
                <w:b w:val="0"/>
                <w:sz w:val="15"/>
              </w:rPr>
              <w:t>Iterative operations over file lists or category-family mappings where required.</w:t>
            </w:r>
          </w:p>
        </w:tc>
      </w:tr>
      <w:tr>
        <w:tc>
          <w:tcPr>
            <w:tcW w:type="dxa" w:w="3024"/>
            <w:vAlign w:val="top"/>
          </w:tcPr>
          <w:p>
            <w:pPr>
              <w:spacing w:after="0" w:line="240" w:lineRule="auto"/>
            </w:pPr>
            <w:r/>
            <w:r>
              <w:rPr>
                <w:b w:val="0"/>
                <w:sz w:val="15"/>
              </w:rPr>
              <w:t>tibble</w:t>
            </w:r>
          </w:p>
        </w:tc>
        <w:tc>
          <w:tcPr>
            <w:tcW w:type="dxa" w:w="7776"/>
            <w:vAlign w:val="top"/>
          </w:tcPr>
          <w:p>
            <w:pPr>
              <w:spacing w:after="0" w:line="240" w:lineRule="auto"/>
            </w:pPr>
            <w:r/>
            <w:r>
              <w:rPr>
                <w:b w:val="0"/>
                <w:sz w:val="15"/>
              </w:rPr>
              <w:t>Tidy table construction for node metrics and summary outputs.</w:t>
            </w:r>
          </w:p>
        </w:tc>
      </w:tr>
      <w:tr>
        <w:tc>
          <w:tcPr>
            <w:tcW w:type="dxa" w:w="3024"/>
            <w:vAlign w:val="top"/>
          </w:tcPr>
          <w:p>
            <w:pPr>
              <w:spacing w:after="0" w:line="240" w:lineRule="auto"/>
            </w:pPr>
            <w:r/>
            <w:r>
              <w:rPr>
                <w:b w:val="0"/>
                <w:sz w:val="15"/>
              </w:rPr>
              <w:t>ggplot2</w:t>
            </w:r>
          </w:p>
        </w:tc>
        <w:tc>
          <w:tcPr>
            <w:tcW w:type="dxa" w:w="7776"/>
            <w:vAlign w:val="top"/>
          </w:tcPr>
          <w:p>
            <w:pPr>
              <w:spacing w:after="0" w:line="240" w:lineRule="auto"/>
            </w:pPr>
            <w:r/>
            <w:r>
              <w:rPr>
                <w:b w:val="0"/>
                <w:sz w:val="15"/>
              </w:rPr>
              <w:t>Histograms, scatterplots, ranked distributions, and publication-ready plotting.</w:t>
            </w:r>
          </w:p>
        </w:tc>
      </w:tr>
      <w:tr>
        <w:tc>
          <w:tcPr>
            <w:tcW w:type="dxa" w:w="3024"/>
            <w:vAlign w:val="top"/>
          </w:tcPr>
          <w:p>
            <w:pPr>
              <w:spacing w:after="0" w:line="240" w:lineRule="auto"/>
            </w:pPr>
            <w:r/>
            <w:r>
              <w:rPr>
                <w:b w:val="0"/>
                <w:sz w:val="15"/>
              </w:rPr>
              <w:t>ggrepel</w:t>
            </w:r>
          </w:p>
        </w:tc>
        <w:tc>
          <w:tcPr>
            <w:tcW w:type="dxa" w:w="7776"/>
            <w:vAlign w:val="top"/>
          </w:tcPr>
          <w:p>
            <w:pPr>
              <w:spacing w:after="0" w:line="240" w:lineRule="auto"/>
            </w:pPr>
            <w:r/>
            <w:r>
              <w:rPr>
                <w:b w:val="0"/>
                <w:sz w:val="15"/>
              </w:rPr>
              <w:t>Non-overlapping labels in scatterplots, especially Figure 5.2.</w:t>
            </w:r>
          </w:p>
        </w:tc>
      </w:tr>
      <w:tr>
        <w:tc>
          <w:tcPr>
            <w:tcW w:type="dxa" w:w="3024"/>
            <w:vAlign w:val="top"/>
          </w:tcPr>
          <w:p>
            <w:pPr>
              <w:spacing w:after="0" w:line="240" w:lineRule="auto"/>
            </w:pPr>
            <w:r/>
            <w:r>
              <w:rPr>
                <w:b w:val="0"/>
                <w:sz w:val="15"/>
              </w:rPr>
              <w:t>scales</w:t>
            </w:r>
          </w:p>
        </w:tc>
        <w:tc>
          <w:tcPr>
            <w:tcW w:type="dxa" w:w="7776"/>
            <w:vAlign w:val="top"/>
          </w:tcPr>
          <w:p>
            <w:pPr>
              <w:spacing w:after="0" w:line="240" w:lineRule="auto"/>
            </w:pPr>
            <w:r/>
            <w:r>
              <w:rPr>
                <w:b w:val="0"/>
                <w:sz w:val="15"/>
              </w:rPr>
              <w:t>Axis and label formatting.</w:t>
            </w:r>
          </w:p>
        </w:tc>
      </w:tr>
      <w:tr>
        <w:tc>
          <w:tcPr>
            <w:tcW w:type="dxa" w:w="3024"/>
            <w:vAlign w:val="top"/>
          </w:tcPr>
          <w:p>
            <w:pPr>
              <w:spacing w:after="0" w:line="240" w:lineRule="auto"/>
            </w:pPr>
            <w:r/>
            <w:r>
              <w:rPr>
                <w:b w:val="0"/>
                <w:sz w:val="15"/>
              </w:rPr>
              <w:t>igraph</w:t>
            </w:r>
          </w:p>
        </w:tc>
        <w:tc>
          <w:tcPr>
            <w:tcW w:type="dxa" w:w="7776"/>
            <w:vAlign w:val="top"/>
          </w:tcPr>
          <w:p>
            <w:pPr>
              <w:spacing w:after="0" w:line="240" w:lineRule="auto"/>
            </w:pPr>
            <w:r/>
            <w:r>
              <w:rPr>
                <w:b w:val="0"/>
                <w:sz w:val="15"/>
              </w:rPr>
              <w:t>Graph object construction, degree, weighted strength, betweenness, eigenvector centrality, components, isolates, and density.</w:t>
            </w:r>
          </w:p>
        </w:tc>
      </w:tr>
      <w:tr>
        <w:tc>
          <w:tcPr>
            <w:tcW w:type="dxa" w:w="3024"/>
            <w:vAlign w:val="top"/>
          </w:tcPr>
          <w:p>
            <w:pPr>
              <w:spacing w:after="0" w:line="240" w:lineRule="auto"/>
            </w:pPr>
            <w:r/>
            <w:r>
              <w:rPr>
                <w:b w:val="0"/>
                <w:sz w:val="15"/>
              </w:rPr>
              <w:t>tidygraph / ggraph</w:t>
            </w:r>
          </w:p>
        </w:tc>
        <w:tc>
          <w:tcPr>
            <w:tcW w:type="dxa" w:w="7776"/>
            <w:vAlign w:val="top"/>
          </w:tcPr>
          <w:p>
            <w:pPr>
              <w:spacing w:after="0" w:line="240" w:lineRule="auto"/>
            </w:pPr>
            <w:r/>
            <w:r>
              <w:rPr>
                <w:b w:val="0"/>
                <w:sz w:val="15"/>
              </w:rPr>
              <w:t>Tidy graph representation and network visualisation scaffolding.</w:t>
            </w:r>
          </w:p>
        </w:tc>
      </w:tr>
      <w:tr>
        <w:tc>
          <w:tcPr>
            <w:tcW w:type="dxa" w:w="3024"/>
            <w:vAlign w:val="top"/>
          </w:tcPr>
          <w:p>
            <w:pPr>
              <w:spacing w:after="0" w:line="240" w:lineRule="auto"/>
            </w:pPr>
            <w:r/>
            <w:r>
              <w:rPr>
                <w:b w:val="0"/>
                <w:sz w:val="15"/>
              </w:rPr>
              <w:t>circlize</w:t>
            </w:r>
          </w:p>
        </w:tc>
        <w:tc>
          <w:tcPr>
            <w:tcW w:type="dxa" w:w="7776"/>
            <w:vAlign w:val="top"/>
          </w:tcPr>
          <w:p>
            <w:pPr>
              <w:spacing w:after="0" w:line="240" w:lineRule="auto"/>
            </w:pPr>
            <w:r/>
            <w:r>
              <w:rPr>
                <w:b w:val="0"/>
                <w:sz w:val="15"/>
              </w:rPr>
              <w:t>Optional reproduction of the Figure 5.3 chord diagram from retained mandate-overlap edges.</w:t>
            </w:r>
          </w:p>
        </w:tc>
      </w:tr>
      <w:tr>
        <w:tc>
          <w:tcPr>
            <w:tcW w:type="dxa" w:w="3024"/>
            <w:vAlign w:val="top"/>
          </w:tcPr>
          <w:p>
            <w:pPr>
              <w:spacing w:after="0" w:line="240" w:lineRule="auto"/>
            </w:pPr>
            <w:r/>
            <w:r>
              <w:rPr>
                <w:b w:val="0"/>
                <w:sz w:val="15"/>
              </w:rPr>
              <w:t>D3 / Observable exports</w:t>
            </w:r>
          </w:p>
        </w:tc>
        <w:tc>
          <w:tcPr>
            <w:tcW w:type="dxa" w:w="7776"/>
            <w:vAlign w:val="top"/>
          </w:tcPr>
          <w:p>
            <w:pPr>
              <w:spacing w:after="0" w:line="240" w:lineRule="auto"/>
            </w:pPr>
            <w:r/>
            <w:r>
              <w:rPr>
                <w:b w:val="0"/>
                <w:sz w:val="15"/>
              </w:rPr>
              <w:t>Figure-ready hierarchy/network data for interactive or design-stage rendering, including sunburst hierarchy files.</w:t>
            </w:r>
          </w:p>
        </w:tc>
      </w:tr>
      <w:tr>
        <w:tc>
          <w:tcPr>
            <w:tcW w:type="dxa" w:w="3024"/>
            <w:vAlign w:val="top"/>
          </w:tcPr>
          <w:p>
            <w:pPr>
              <w:spacing w:after="0" w:line="240" w:lineRule="auto"/>
            </w:pPr>
            <w:r/>
            <w:r>
              <w:rPr>
                <w:b w:val="0"/>
                <w:sz w:val="15"/>
              </w:rPr>
              <w:t>renv / sessionInfo()</w:t>
            </w:r>
          </w:p>
        </w:tc>
        <w:tc>
          <w:tcPr>
            <w:tcW w:type="dxa" w:w="7776"/>
            <w:vAlign w:val="top"/>
          </w:tcPr>
          <w:p>
            <w:pPr>
              <w:spacing w:after="0" w:line="240" w:lineRule="auto"/>
            </w:pPr>
            <w:r/>
            <w:r>
              <w:rPr>
                <w:b w:val="0"/>
                <w:sz w:val="15"/>
              </w:rPr>
              <w:t>Dependency and environment recording for reproducibility.</w:t>
            </w:r>
          </w:p>
        </w:tc>
      </w:tr>
      <w:tr>
        <w:tc>
          <w:tcPr>
            <w:tcW w:type="dxa" w:w="3024"/>
            <w:vAlign w:val="top"/>
          </w:tcPr>
          <w:p>
            <w:pPr>
              <w:spacing w:after="0" w:line="240" w:lineRule="auto"/>
            </w:pPr>
            <w:r/>
            <w:r>
              <w:rPr>
                <w:b w:val="0"/>
                <w:sz w:val="15"/>
              </w:rPr>
              <w:t>SHA-256 checksums</w:t>
            </w:r>
          </w:p>
        </w:tc>
        <w:tc>
          <w:tcPr>
            <w:tcW w:type="dxa" w:w="7776"/>
            <w:vAlign w:val="top"/>
          </w:tcPr>
          <w:p>
            <w:pPr>
              <w:spacing w:after="0" w:line="240" w:lineRule="auto"/>
            </w:pPr>
            <w:r/>
            <w:r>
              <w:rPr>
                <w:b w:val="0"/>
                <w:sz w:val="15"/>
              </w:rPr>
              <w:t>File-integrity verification through 05_quality_assurance/checksums_sha256.txt.</w:t>
            </w:r>
          </w:p>
        </w:tc>
      </w:tr>
    </w:tbl>
    <w:p>
      <w:pPr>
        <w:pStyle w:val="AppendixNote"/>
      </w:pPr>
      <w:r>
        <w:t>Exact package versions are not asserted in this appendix unless captured from a local R session. Readers reproducing the workflow should run sessionInfo() after executing the scripts and retain the output with the archive. This avoids claiming package-version precision that is not stored in the archive itself.</w:t>
      </w:r>
    </w:p>
    <w:p>
      <w:pPr>
        <w:pStyle w:val="Heading1"/>
      </w:pPr>
      <w:r>
        <w:t>A5.5 Reproduction workflow</w:t>
      </w:r>
    </w:p>
    <w:p>
      <w:pPr>
        <w:spacing w:after="120"/>
      </w:pPr>
      <w:r>
        <w:t>The archive is designed to be run from its root directory. The runner calls a setup script, the dyadic distribution and scatterplot scripts, the Figure 5.3 retained mandate-overlap script, the relational network table script, the network visualisation scaffold, and the functional differentiation checks. The scripts rebuild or verify key outputs, but the canonical deposited outputs remain the named CSV and figure files in the processed-output and figure folders.</w:t>
      </w:r>
    </w:p>
    <w:p>
      <w:pPr>
        <w:pStyle w:val="AppendixCodeTitle"/>
      </w:pPr>
      <w:r>
        <w:t>Minimal reproduction commands</w:t>
      </w:r>
    </w:p>
    <w:p>
      <w:pPr>
        <w:pStyle w:val="AppendixCode"/>
      </w:pPr>
      <w:r>
        <w:t># From the archive root:</w:t>
      </w:r>
    </w:p>
    <w:p>
      <w:pPr>
        <w:pStyle w:val="AppendixCode"/>
      </w:pPr>
      <w:r>
        <w:t>setwd('chapter5_data_archive')</w:t>
      </w:r>
    </w:p>
    <w:p>
      <w:pPr>
        <w:pStyle w:val="AppendixCode"/>
      </w:pPr>
      <w:r>
        <w:t>source('03_scripts/R/run_all_chapter5.R')</w:t>
      </w:r>
    </w:p>
    <w:p>
      <w:pPr>
        <w:pStyle w:val="AppendixCode"/>
      </w:pPr>
      <w:r/>
    </w:p>
    <w:p>
      <w:pPr>
        <w:pStyle w:val="AppendixCode"/>
      </w:pPr>
      <w:r>
        <w:t># Record the local R environment after reproduction:</w:t>
      </w:r>
    </w:p>
    <w:p>
      <w:pPr>
        <w:pStyle w:val="AppendixCode"/>
      </w:pPr>
      <w:r>
        <w:t>sessionInfo()</w:t>
      </w:r>
    </w:p>
    <w:p>
      <w:pPr>
        <w:pStyle w:val="AppendixCode"/>
      </w:pPr>
      <w:r/>
    </w:p>
    <w:p>
      <w:pPr>
        <w:pStyle w:val="AppendixCode"/>
      </w:pPr>
      <w:r>
        <w:t># Optional package-state record for final deposit:</w:t>
      </w:r>
    </w:p>
    <w:p>
      <w:pPr>
        <w:pStyle w:val="AppendixCode"/>
      </w:pPr>
      <w:r>
        <w:t># renv::snapshot(prompt = FALSE)</w:t>
      </w:r>
    </w:p>
    <w:p>
      <w:pPr>
        <w:pStyle w:val="Heading1"/>
      </w:pPr>
      <w:r>
        <w:t>A5.6 Section 5.2 method: institutional incongruence</w:t>
      </w:r>
    </w:p>
    <w:p>
      <w:pPr>
        <w:spacing w:after="120"/>
      </w:pPr>
      <w:r>
        <w:t>Institutional incongruence is assessed at the dyadic level. With 48 organisations, the number of unordered dyads is n(n - 1) / 2 = 48 x 47 / 2 = 1,128. Each dyad is assigned a mandate-similarity score and a relational-similarity score. The mandate space is constructed from spatial jurisdiction and subject-matter jurisdiction. The relational space is constructed from inter-institutional relationships, vertical coordination, and horizontal coordination.</w:t>
      </w:r>
    </w:p>
    <w:p>
      <w:pPr>
        <w:pStyle w:val="AppendixCodeTitle"/>
      </w:pPr>
      <w:r>
        <w:t>Core calculations for Section 5.2</w:t>
      </w:r>
    </w:p>
    <w:p>
      <w:pPr>
        <w:pStyle w:val="AppendixCode"/>
      </w:pPr>
      <w:r>
        <w:t>delta_incongruence = mandate_similarity - relational_similarity</w:t>
      </w:r>
    </w:p>
    <w:p>
      <w:pPr>
        <w:pStyle w:val="AppendixCode"/>
      </w:pPr>
      <w:r/>
    </w:p>
    <w:p>
      <w:pPr>
        <w:pStyle w:val="AppendixCode"/>
      </w:pPr>
      <w:r>
        <w:t>positive_incongruence = delta_incongruence &gt; 0</w:t>
      </w:r>
    </w:p>
    <w:p>
      <w:pPr>
        <w:pStyle w:val="AppendixCode"/>
      </w:pPr>
      <w:r/>
    </w:p>
    <w:p>
      <w:pPr>
        <w:pStyle w:val="AppendixCode"/>
      </w:pPr>
      <w:r>
        <w:t>high_incongruence = mandate_similarity &gt;= q90(mandate_similarity) &amp;</w:t>
      </w:r>
    </w:p>
    <w:p>
      <w:pPr>
        <w:pStyle w:val="AppendixCode"/>
      </w:pPr>
      <w:r>
        <w:t xml:space="preserve">                    relational_similarity &lt;= q10(relational_similarity)</w:t>
      </w:r>
    </w:p>
    <w:p>
      <w:pPr>
        <w:spacing w:after="120"/>
      </w:pPr>
      <w:r>
        <w:t>Positive delta incongruence identifies dyads where mandate similarity exceeds relational similarity. Negative values identify dyads where relational similarity equals or exceeds mandate similarity. The high-incongruence filter isolates dyads that combine high mandate overlap with comparatively low relational coupling. These filters are descriptive and dataset-specific; they are not universal cut-offs for all IGO systems.</w:t>
      </w:r>
    </w:p>
    <w:tbl>
      <w:tblPr>
        <w:tblStyle w:val="TableGrid"/>
        <w:tblW w:type="auto" w:w="0"/>
        <w:jc w:val="center"/>
        <w:tblLook w:firstColumn="1" w:firstRow="1" w:lastColumn="0" w:lastRow="0" w:noHBand="0" w:noVBand="1" w:val="04A0"/>
      </w:tblPr>
      <w:tblGrid>
        <w:gridCol w:w="5040"/>
        <w:gridCol w:w="5040"/>
      </w:tblGrid>
      <w:tr>
        <w:tc>
          <w:tcPr>
            <w:tcW w:type="dxa" w:w="4320"/>
            <w:vAlign w:val="top"/>
            <w:shd w:fill="D9EAF7"/>
          </w:tcPr>
          <w:p>
            <w:pPr>
              <w:spacing w:after="0" w:line="240" w:lineRule="auto"/>
            </w:pPr>
            <w:r/>
            <w:r>
              <w:rPr>
                <w:b/>
                <w:sz w:val="16"/>
              </w:rPr>
              <w:t>Section 5.2 output</w:t>
            </w:r>
          </w:p>
        </w:tc>
        <w:tc>
          <w:tcPr>
            <w:tcW w:type="dxa" w:w="6480"/>
            <w:vAlign w:val="top"/>
            <w:shd w:fill="D9EAF7"/>
          </w:tcPr>
          <w:p>
            <w:pPr>
              <w:spacing w:after="0" w:line="240" w:lineRule="auto"/>
            </w:pPr>
            <w:r/>
            <w:r>
              <w:rPr>
                <w:b/>
                <w:sz w:val="16"/>
              </w:rPr>
              <w:t>Description</w:t>
            </w:r>
          </w:p>
        </w:tc>
      </w:tr>
      <w:tr>
        <w:tc>
          <w:tcPr>
            <w:tcW w:type="dxa" w:w="4320"/>
            <w:vAlign w:val="top"/>
          </w:tcPr>
          <w:p>
            <w:pPr>
              <w:spacing w:after="0" w:line="240" w:lineRule="auto"/>
            </w:pPr>
            <w:r/>
            <w:r>
              <w:rPr>
                <w:b w:val="0"/>
                <w:sz w:val="16"/>
              </w:rPr>
              <w:t>dyadic_mandate_relational_similarity.csv</w:t>
            </w:r>
          </w:p>
        </w:tc>
        <w:tc>
          <w:tcPr>
            <w:tcW w:type="dxa" w:w="6480"/>
            <w:vAlign w:val="top"/>
          </w:tcPr>
          <w:p>
            <w:pPr>
              <w:spacing w:after="0" w:line="240" w:lineRule="auto"/>
            </w:pPr>
            <w:r/>
            <w:r>
              <w:rPr>
                <w:b w:val="0"/>
                <w:sz w:val="16"/>
              </w:rPr>
              <w:t>Full 1,128-dyad file with mandate similarity, relational similarity, delta incongruence, positive-incongruence flags, and high-incongruence flags.</w:t>
            </w:r>
          </w:p>
        </w:tc>
      </w:tr>
      <w:tr>
        <w:tc>
          <w:tcPr>
            <w:tcW w:type="dxa" w:w="4320"/>
            <w:vAlign w:val="top"/>
          </w:tcPr>
          <w:p>
            <w:pPr>
              <w:spacing w:after="0" w:line="240" w:lineRule="auto"/>
            </w:pPr>
            <w:r/>
            <w:r>
              <w:rPr>
                <w:b w:val="0"/>
                <w:sz w:val="16"/>
              </w:rPr>
              <w:t>table_5_4_delta_incongruence_distribution.csv</w:t>
            </w:r>
          </w:p>
        </w:tc>
        <w:tc>
          <w:tcPr>
            <w:tcW w:type="dxa" w:w="6480"/>
            <w:vAlign w:val="top"/>
          </w:tcPr>
          <w:p>
            <w:pPr>
              <w:spacing w:after="0" w:line="240" w:lineRule="auto"/>
            </w:pPr>
            <w:r/>
            <w:r>
              <w:rPr>
                <w:b w:val="0"/>
                <w:sz w:val="16"/>
              </w:rPr>
              <w:t>Descriptive statistics for the full delta-incongruence distribution.</w:t>
            </w:r>
          </w:p>
        </w:tc>
      </w:tr>
      <w:tr>
        <w:tc>
          <w:tcPr>
            <w:tcW w:type="dxa" w:w="4320"/>
            <w:vAlign w:val="top"/>
          </w:tcPr>
          <w:p>
            <w:pPr>
              <w:spacing w:after="0" w:line="240" w:lineRule="auto"/>
            </w:pPr>
            <w:r/>
            <w:r>
              <w:rPr>
                <w:b w:val="0"/>
                <w:sz w:val="16"/>
              </w:rPr>
              <w:t>table_5_5_filtering_conditions_highest_incongruence.csv</w:t>
            </w:r>
          </w:p>
        </w:tc>
        <w:tc>
          <w:tcPr>
            <w:tcW w:type="dxa" w:w="6480"/>
            <w:vAlign w:val="top"/>
          </w:tcPr>
          <w:p>
            <w:pPr>
              <w:spacing w:after="0" w:line="240" w:lineRule="auto"/>
            </w:pPr>
            <w:r/>
            <w:r>
              <w:rPr>
                <w:b w:val="0"/>
                <w:sz w:val="16"/>
              </w:rPr>
              <w:t>q90/q10 filter rules used to identify highest-incongruence dyads.</w:t>
            </w:r>
          </w:p>
        </w:tc>
      </w:tr>
      <w:tr>
        <w:tc>
          <w:tcPr>
            <w:tcW w:type="dxa" w:w="4320"/>
            <w:vAlign w:val="top"/>
          </w:tcPr>
          <w:p>
            <w:pPr>
              <w:spacing w:after="0" w:line="240" w:lineRule="auto"/>
            </w:pPr>
            <w:r/>
            <w:r>
              <w:rPr>
                <w:b w:val="0"/>
                <w:sz w:val="16"/>
              </w:rPr>
              <w:t>table_5_6_highest_incongruence_dyads.csv</w:t>
            </w:r>
          </w:p>
        </w:tc>
        <w:tc>
          <w:tcPr>
            <w:tcW w:type="dxa" w:w="6480"/>
            <w:vAlign w:val="top"/>
          </w:tcPr>
          <w:p>
            <w:pPr>
              <w:spacing w:after="0" w:line="240" w:lineRule="auto"/>
            </w:pPr>
            <w:r/>
            <w:r>
              <w:rPr>
                <w:b w:val="0"/>
                <w:sz w:val="16"/>
              </w:rPr>
              <w:t>Table-ready filtered list of 13 highest-incongruence dyads.</w:t>
            </w:r>
          </w:p>
        </w:tc>
      </w:tr>
      <w:tr>
        <w:tc>
          <w:tcPr>
            <w:tcW w:type="dxa" w:w="4320"/>
            <w:vAlign w:val="top"/>
          </w:tcPr>
          <w:p>
            <w:pPr>
              <w:spacing w:after="0" w:line="240" w:lineRule="auto"/>
            </w:pPr>
            <w:r/>
            <w:r>
              <w:rPr>
                <w:b w:val="0"/>
                <w:sz w:val="16"/>
              </w:rPr>
              <w:t>figure_5_3_retained_mandate_overlap_edges.csv</w:t>
            </w:r>
          </w:p>
        </w:tc>
        <w:tc>
          <w:tcPr>
            <w:tcW w:type="dxa" w:w="6480"/>
            <w:vAlign w:val="top"/>
          </w:tcPr>
          <w:p>
            <w:pPr>
              <w:spacing w:after="0" w:line="240" w:lineRule="auto"/>
            </w:pPr>
            <w:r/>
            <w:r>
              <w:rPr>
                <w:b w:val="0"/>
                <w:sz w:val="16"/>
              </w:rPr>
              <w:t>Top-decile retained mandate-overlap edge list used for the Figure 5.3 chord diagram.</w:t>
            </w:r>
          </w:p>
        </w:tc>
      </w:tr>
      <w:tr>
        <w:tc>
          <w:tcPr>
            <w:tcW w:type="dxa" w:w="4320"/>
            <w:vAlign w:val="top"/>
          </w:tcPr>
          <w:p>
            <w:pPr>
              <w:spacing w:after="0" w:line="240" w:lineRule="auto"/>
            </w:pPr>
            <w:r/>
            <w:r>
              <w:rPr>
                <w:b w:val="0"/>
                <w:sz w:val="16"/>
              </w:rPr>
              <w:t>figure_5_3_retained_mandate_overlap_node_summary.csv</w:t>
            </w:r>
          </w:p>
        </w:tc>
        <w:tc>
          <w:tcPr>
            <w:tcW w:type="dxa" w:w="6480"/>
            <w:vAlign w:val="top"/>
          </w:tcPr>
          <w:p>
            <w:pPr>
              <w:spacing w:after="0" w:line="240" w:lineRule="auto"/>
            </w:pPr>
            <w:r/>
            <w:r>
              <w:rPr>
                <w:b w:val="0"/>
                <w:sz w:val="16"/>
              </w:rPr>
              <w:t>Organisation-level count and strength summary for retained mandate-overlap ties.</w:t>
            </w:r>
          </w:p>
        </w:tc>
      </w:tr>
    </w:tbl>
    <w:p>
      <w:pPr>
        <w:pStyle w:val="Heading1"/>
      </w:pPr>
      <w:r>
        <w:t>A5.7 Figure 5.3 method: retained mandate-overlap chord list</w:t>
      </w:r>
    </w:p>
    <w:p>
      <w:pPr>
        <w:spacing w:after="120"/>
      </w:pPr>
      <w:r>
        <w:t>Figure 5.3 is generated from the mandate-similarity component of the dyadic output. The retained edge list includes dyads whose mandate-similarity score falls at or above the empirical q90 mandate-similarity threshold. In the deposited output this retains 113 mandate-overlap ties. The edge weight used for the chord visualisation is mandate_similarity. Relational similarity and delta incongruence are retained in the edge list for comparison but do not determine chord retention.</w:t>
      </w:r>
    </w:p>
    <w:p>
      <w:pPr>
        <w:pStyle w:val="AppendixCodeTitle"/>
      </w:pPr>
      <w:r>
        <w:t>Retained-edge rule for Figure 5.3</w:t>
      </w:r>
    </w:p>
    <w:p>
      <w:pPr>
        <w:pStyle w:val="AppendixCode"/>
      </w:pPr>
      <w:r>
        <w:t>q90_mandate &lt;- quantile(dyads$mandate_similarity, 0.90, na.rm = TRUE)</w:t>
      </w:r>
    </w:p>
    <w:p>
      <w:pPr>
        <w:pStyle w:val="AppendixCode"/>
      </w:pPr>
      <w:r>
        <w:t>retained_edges &lt;- dyads %&gt;%</w:t>
      </w:r>
    </w:p>
    <w:p>
      <w:pPr>
        <w:pStyle w:val="AppendixCode"/>
      </w:pPr>
      <w:r>
        <w:t xml:space="preserve">  filter(mandate_similarity &gt;= q90_mandate) %&gt;%</w:t>
      </w:r>
    </w:p>
    <w:p>
      <w:pPr>
        <w:pStyle w:val="AppendixCode"/>
      </w:pPr>
      <w:r>
        <w:t xml:space="preserve">  arrange(desc(mandate_similarity), IGO_A, IGO_B) %&gt;%</w:t>
      </w:r>
    </w:p>
    <w:p>
      <w:pPr>
        <w:pStyle w:val="AppendixCode"/>
      </w:pPr>
      <w:r>
        <w:t xml:space="preserve">  mutate(edge_weight_for_chord = mandate_similarity)</w:t>
      </w:r>
    </w:p>
    <w:p>
      <w:pPr>
        <w:pStyle w:val="Heading1"/>
      </w:pPr>
      <w:r>
        <w:t>A5.8 Section 5.3 method: relational coordination network</w:t>
      </w:r>
    </w:p>
    <w:p>
      <w:pPr>
        <w:spacing w:after="120"/>
      </w:pPr>
      <w:r>
        <w:t>Relational coordination is assessed by constructing a thresholded similarity network from the inter-institutional relationships, vertical coordination, and horizontal coordination profiles. Each organisation is a node. A retained tie is created when a dyad falls in the strongest decile of relational similarity. This q90 sparsification rule is used to focus the network on the strongest documented relational-profile similarities while avoiding a visually saturated complete graph.</w:t>
      </w:r>
    </w:p>
    <w:p>
      <w:pPr>
        <w:pStyle w:val="AppendixCodeTitle"/>
      </w:pPr>
      <w:r>
        <w:t>Relational-network threshold and distance transformation</w:t>
      </w:r>
    </w:p>
    <w:p>
      <w:pPr>
        <w:pStyle w:val="AppendixCode"/>
      </w:pPr>
      <w:r>
        <w:t>q90_relational &lt;- quantile(relational_similarity, 0.90, na.rm = TRUE)</w:t>
      </w:r>
    </w:p>
    <w:p>
      <w:pPr>
        <w:pStyle w:val="AppendixCode"/>
      </w:pPr>
      <w:r>
        <w:t>retained_edges &lt;- dyads[relational_similarity &gt;= q90_relational, ]</w:t>
      </w:r>
    </w:p>
    <w:p>
      <w:pPr>
        <w:pStyle w:val="AppendixCode"/>
      </w:pPr>
      <w:r>
        <w:t>relational_distance &lt;- 1 - relational_similarity</w:t>
      </w:r>
    </w:p>
    <w:p>
      <w:pPr>
        <w:spacing w:after="120"/>
      </w:pPr>
      <w:r>
        <w:t>Centrality measures are computed on the q90-thresholded network. Degree reports the number of retained ties. Strength reports the weighted sum of retained relational-similarity ties. Betweenness is calculated using relational distance defined as 1 minus similarity, so stronger similarity is treated as shorter distance. Eigenvector centrality identifies organisations embedded in the most connected part of the retained network and is normalised to the maximum observed value.</w:t>
      </w:r>
    </w:p>
    <w:tbl>
      <w:tblPr>
        <w:tblStyle w:val="TableGrid"/>
        <w:tblW w:type="auto" w:w="0"/>
        <w:jc w:val="center"/>
        <w:tblLook w:firstColumn="1" w:firstRow="1" w:lastColumn="0" w:lastRow="0" w:noHBand="0" w:noVBand="1" w:val="04A0"/>
      </w:tblPr>
      <w:tblGrid>
        <w:gridCol w:w="5040"/>
        <w:gridCol w:w="5040"/>
      </w:tblGrid>
      <w:tr>
        <w:tc>
          <w:tcPr>
            <w:tcW w:type="dxa" w:w="4320"/>
            <w:vAlign w:val="top"/>
            <w:shd w:fill="D9EAF7"/>
          </w:tcPr>
          <w:p>
            <w:pPr>
              <w:spacing w:after="0" w:line="240" w:lineRule="auto"/>
            </w:pPr>
            <w:r/>
            <w:r>
              <w:rPr>
                <w:b/>
                <w:sz w:val="16"/>
              </w:rPr>
              <w:t>Section 5.3 output</w:t>
            </w:r>
          </w:p>
        </w:tc>
        <w:tc>
          <w:tcPr>
            <w:tcW w:type="dxa" w:w="6480"/>
            <w:vAlign w:val="top"/>
            <w:shd w:fill="D9EAF7"/>
          </w:tcPr>
          <w:p>
            <w:pPr>
              <w:spacing w:after="0" w:line="240" w:lineRule="auto"/>
            </w:pPr>
            <w:r/>
            <w:r>
              <w:rPr>
                <w:b/>
                <w:sz w:val="16"/>
              </w:rPr>
              <w:t>Description</w:t>
            </w:r>
          </w:p>
        </w:tc>
      </w:tr>
      <w:tr>
        <w:tc>
          <w:tcPr>
            <w:tcW w:type="dxa" w:w="4320"/>
            <w:vAlign w:val="top"/>
          </w:tcPr>
          <w:p>
            <w:pPr>
              <w:spacing w:after="0" w:line="240" w:lineRule="auto"/>
            </w:pPr>
            <w:r/>
            <w:r>
              <w:rPr>
                <w:b w:val="0"/>
                <w:sz w:val="16"/>
              </w:rPr>
              <w:t>relational_network_edges_q90.csv</w:t>
            </w:r>
          </w:p>
        </w:tc>
        <w:tc>
          <w:tcPr>
            <w:tcW w:type="dxa" w:w="6480"/>
            <w:vAlign w:val="top"/>
          </w:tcPr>
          <w:p>
            <w:pPr>
              <w:spacing w:after="0" w:line="240" w:lineRule="auto"/>
            </w:pPr>
            <w:r/>
            <w:r>
              <w:rPr>
                <w:b w:val="0"/>
                <w:sz w:val="16"/>
              </w:rPr>
              <w:t>Retained q90 relational-similarity edge list used for Tables 5.7-5.8 and Figures 5.7-5.9.</w:t>
            </w:r>
          </w:p>
        </w:tc>
      </w:tr>
      <w:tr>
        <w:tc>
          <w:tcPr>
            <w:tcW w:type="dxa" w:w="4320"/>
            <w:vAlign w:val="top"/>
          </w:tcPr>
          <w:p>
            <w:pPr>
              <w:spacing w:after="0" w:line="240" w:lineRule="auto"/>
            </w:pPr>
            <w:r/>
            <w:r>
              <w:rPr>
                <w:b w:val="0"/>
                <w:sz w:val="16"/>
              </w:rPr>
              <w:t>relational_network_node_metrics_q90.csv</w:t>
            </w:r>
          </w:p>
        </w:tc>
        <w:tc>
          <w:tcPr>
            <w:tcW w:type="dxa" w:w="6480"/>
            <w:vAlign w:val="top"/>
          </w:tcPr>
          <w:p>
            <w:pPr>
              <w:spacing w:after="0" w:line="240" w:lineRule="auto"/>
            </w:pPr>
            <w:r/>
            <w:r>
              <w:rPr>
                <w:b w:val="0"/>
                <w:sz w:val="16"/>
              </w:rPr>
              <w:t>Node-level degree, strength, betweenness, eigenvector centrality, community membership, and relational position.</w:t>
            </w:r>
          </w:p>
        </w:tc>
      </w:tr>
      <w:tr>
        <w:tc>
          <w:tcPr>
            <w:tcW w:type="dxa" w:w="4320"/>
            <w:vAlign w:val="top"/>
          </w:tcPr>
          <w:p>
            <w:pPr>
              <w:spacing w:after="0" w:line="240" w:lineRule="auto"/>
            </w:pPr>
            <w:r/>
            <w:r>
              <w:rPr>
                <w:b w:val="0"/>
                <w:sz w:val="16"/>
              </w:rPr>
              <w:t>table_5_7_network_level_descriptive_statistics.csv</w:t>
            </w:r>
          </w:p>
        </w:tc>
        <w:tc>
          <w:tcPr>
            <w:tcW w:type="dxa" w:w="6480"/>
            <w:vAlign w:val="top"/>
          </w:tcPr>
          <w:p>
            <w:pPr>
              <w:spacing w:after="0" w:line="240" w:lineRule="auto"/>
            </w:pPr>
            <w:r/>
            <w:r>
              <w:rPr>
                <w:b w:val="0"/>
                <w:sz w:val="16"/>
              </w:rPr>
              <w:t>Network-level statistics: node count, possible dyads, q90 threshold, retained ties, density, component size, and isolates.</w:t>
            </w:r>
          </w:p>
        </w:tc>
      </w:tr>
      <w:tr>
        <w:tc>
          <w:tcPr>
            <w:tcW w:type="dxa" w:w="4320"/>
            <w:vAlign w:val="top"/>
          </w:tcPr>
          <w:p>
            <w:pPr>
              <w:spacing w:after="0" w:line="240" w:lineRule="auto"/>
            </w:pPr>
            <w:r/>
            <w:r>
              <w:rPr>
                <w:b w:val="0"/>
                <w:sz w:val="16"/>
              </w:rPr>
              <w:t>table_5_8_selected_centrality_results.csv</w:t>
            </w:r>
          </w:p>
        </w:tc>
        <w:tc>
          <w:tcPr>
            <w:tcW w:type="dxa" w:w="6480"/>
            <w:vAlign w:val="top"/>
          </w:tcPr>
          <w:p>
            <w:pPr>
              <w:spacing w:after="0" w:line="240" w:lineRule="auto"/>
            </w:pPr>
            <w:r/>
            <w:r>
              <w:rPr>
                <w:b w:val="0"/>
                <w:sz w:val="16"/>
              </w:rPr>
              <w:t>Selected centrality rows reported in Chapter 5.</w:t>
            </w:r>
          </w:p>
        </w:tc>
      </w:tr>
    </w:tbl>
    <w:p>
      <w:pPr>
        <w:pStyle w:val="Heading1"/>
      </w:pPr>
      <w:r>
        <w:t>A5.9 Section 5.4 method: functional differentiation scores</w:t>
      </w:r>
    </w:p>
    <w:p>
      <w:pPr>
        <w:spacing w:after="120"/>
      </w:pPr>
      <w:r>
        <w:t>Functional differentiation is assessed at the organisation level. The analysis constructs two score systems. The first compares regulatory strength with delivery capacity. The second compares technical-rule emphasis with guardrail emphasis. The scores describe the functional emphasis visible in the coded documentary profile; they are not direct performance scores and should not be interpreted as evidence that one organisation is more effective than another.</w:t>
      </w:r>
    </w:p>
    <w:tbl>
      <w:tblPr>
        <w:tblStyle w:val="TableGrid"/>
        <w:tblW w:type="auto" w:w="0"/>
        <w:jc w:val="center"/>
        <w:tblLook w:firstColumn="1" w:firstRow="1" w:lastColumn="0" w:lastRow="0" w:noHBand="0" w:noVBand="1" w:val="04A0"/>
      </w:tblPr>
      <w:tblGrid>
        <w:gridCol w:w="5040"/>
        <w:gridCol w:w="5040"/>
      </w:tblGrid>
      <w:tr>
        <w:tc>
          <w:tcPr>
            <w:tcW w:type="dxa" w:w="3168"/>
            <w:vAlign w:val="top"/>
            <w:shd w:fill="D9EAF7"/>
          </w:tcPr>
          <w:p>
            <w:pPr>
              <w:spacing w:after="0" w:line="240" w:lineRule="auto"/>
            </w:pPr>
            <w:r/>
            <w:r>
              <w:rPr>
                <w:b/>
                <w:sz w:val="15"/>
              </w:rPr>
              <w:t>Functional measure</w:t>
            </w:r>
          </w:p>
        </w:tc>
        <w:tc>
          <w:tcPr>
            <w:tcW w:type="dxa" w:w="7632"/>
            <w:vAlign w:val="top"/>
            <w:shd w:fill="D9EAF7"/>
          </w:tcPr>
          <w:p>
            <w:pPr>
              <w:spacing w:after="0" w:line="240" w:lineRule="auto"/>
            </w:pPr>
            <w:r/>
            <w:r>
              <w:rPr>
                <w:b/>
                <w:sz w:val="15"/>
              </w:rPr>
              <w:t>Construction and interpretation</w:t>
            </w:r>
          </w:p>
        </w:tc>
      </w:tr>
      <w:tr>
        <w:tc>
          <w:tcPr>
            <w:tcW w:type="dxa" w:w="3168"/>
            <w:vAlign w:val="top"/>
          </w:tcPr>
          <w:p>
            <w:pPr>
              <w:spacing w:after="0" w:line="240" w:lineRule="auto"/>
            </w:pPr>
            <w:r/>
            <w:r>
              <w:rPr>
                <w:b w:val="0"/>
                <w:sz w:val="15"/>
              </w:rPr>
              <w:t>Regulatory strength</w:t>
            </w:r>
          </w:p>
        </w:tc>
        <w:tc>
          <w:tcPr>
            <w:tcW w:type="dxa" w:w="7632"/>
            <w:vAlign w:val="top"/>
          </w:tcPr>
          <w:p>
            <w:pPr>
              <w:spacing w:after="0" w:line="240" w:lineRule="auto"/>
            </w:pPr>
            <w:r/>
            <w:r>
              <w:rPr>
                <w:b w:val="0"/>
                <w:sz w:val="15"/>
              </w:rPr>
              <w:t>Row-wise mean of four across-IGO Source of Jurisdiction categories: Binding Secondary Law_AcrossIGO; Compliance &amp; Oversight_AcrossIGO; Delegated or Derived Powers_AcrossIGO; Foundational Treaties &amp; Charters_AcrossIGO.</w:t>
            </w:r>
          </w:p>
        </w:tc>
      </w:tr>
      <w:tr>
        <w:tc>
          <w:tcPr>
            <w:tcW w:type="dxa" w:w="3168"/>
            <w:vAlign w:val="top"/>
          </w:tcPr>
          <w:p>
            <w:pPr>
              <w:spacing w:after="0" w:line="240" w:lineRule="auto"/>
            </w:pPr>
            <w:r/>
            <w:r>
              <w:rPr>
                <w:b w:val="0"/>
                <w:sz w:val="15"/>
              </w:rPr>
              <w:t>Delivery capacity</w:t>
            </w:r>
          </w:p>
        </w:tc>
        <w:tc>
          <w:tcPr>
            <w:tcW w:type="dxa" w:w="7632"/>
            <w:vAlign w:val="top"/>
          </w:tcPr>
          <w:p>
            <w:pPr>
              <w:spacing w:after="0" w:line="240" w:lineRule="auto"/>
            </w:pPr>
            <w:r/>
            <w:r>
              <w:rPr>
                <w:b w:val="0"/>
                <w:sz w:val="15"/>
              </w:rPr>
              <w:t>Row-wise mean of seven across-IGO coordination/delivery categories: Multi-level Planning Structures_AcrossIGO; Policy Alignment with National Plans_AcrossIGO; Reporting &amp; Compliance Mechanisms_AcrossIGO; Technical Assistance to States_AcrossIGO; Inter-agency Technical Cooperation_AcrossIGO; Shared Monitoring Frameworks_AcrossIGO; Thematic Working Groups_AcrossIGO.</w:t>
            </w:r>
          </w:p>
        </w:tc>
      </w:tr>
      <w:tr>
        <w:tc>
          <w:tcPr>
            <w:tcW w:type="dxa" w:w="3168"/>
            <w:vAlign w:val="top"/>
          </w:tcPr>
          <w:p>
            <w:pPr>
              <w:spacing w:after="0" w:line="240" w:lineRule="auto"/>
            </w:pPr>
            <w:r/>
            <w:r>
              <w:rPr>
                <w:b w:val="0"/>
                <w:sz w:val="15"/>
              </w:rPr>
              <w:t>Regulatory-delivery gap</w:t>
            </w:r>
          </w:p>
        </w:tc>
        <w:tc>
          <w:tcPr>
            <w:tcW w:type="dxa" w:w="7632"/>
            <w:vAlign w:val="top"/>
          </w:tcPr>
          <w:p>
            <w:pPr>
              <w:spacing w:after="0" w:line="240" w:lineRule="auto"/>
            </w:pPr>
            <w:r/>
            <w:r>
              <w:rPr>
                <w:b w:val="0"/>
                <w:sz w:val="15"/>
              </w:rPr>
              <w:t>regulatory_strength - delivery_capacity. Positive values indicate regulatory-heavy profiles; negative values indicate delivery-heavy profiles; values close to zero indicate near alignment.</w:t>
            </w:r>
          </w:p>
        </w:tc>
      </w:tr>
      <w:tr>
        <w:tc>
          <w:tcPr>
            <w:tcW w:type="dxa" w:w="3168"/>
            <w:vAlign w:val="top"/>
          </w:tcPr>
          <w:p>
            <w:pPr>
              <w:spacing w:after="0" w:line="240" w:lineRule="auto"/>
            </w:pPr>
            <w:r/>
            <w:r>
              <w:rPr>
                <w:b w:val="0"/>
                <w:sz w:val="15"/>
              </w:rPr>
              <w:t>Technical-rule orientation</w:t>
            </w:r>
          </w:p>
        </w:tc>
        <w:tc>
          <w:tcPr>
            <w:tcW w:type="dxa" w:w="7632"/>
            <w:vAlign w:val="top"/>
          </w:tcPr>
          <w:p>
            <w:pPr>
              <w:spacing w:after="0" w:line="240" w:lineRule="auto"/>
            </w:pPr>
            <w:r/>
            <w:r>
              <w:rPr>
                <w:b w:val="0"/>
                <w:sz w:val="15"/>
              </w:rPr>
              <w:t>Within-IGO objective/strategy categories associated with planning, rule-setting, standards, technical functions, capacity development, and operational delivery.</w:t>
            </w:r>
          </w:p>
        </w:tc>
      </w:tr>
      <w:tr>
        <w:tc>
          <w:tcPr>
            <w:tcW w:type="dxa" w:w="3168"/>
            <w:vAlign w:val="top"/>
          </w:tcPr>
          <w:p>
            <w:pPr>
              <w:spacing w:after="0" w:line="240" w:lineRule="auto"/>
            </w:pPr>
            <w:r/>
            <w:r>
              <w:rPr>
                <w:b w:val="0"/>
                <w:sz w:val="15"/>
              </w:rPr>
              <w:t>Guardrail orientation</w:t>
            </w:r>
          </w:p>
        </w:tc>
        <w:tc>
          <w:tcPr>
            <w:tcW w:type="dxa" w:w="7632"/>
            <w:vAlign w:val="top"/>
          </w:tcPr>
          <w:p>
            <w:pPr>
              <w:spacing w:after="0" w:line="240" w:lineRule="auto"/>
            </w:pPr>
            <w:r/>
            <w:r>
              <w:rPr>
                <w:b w:val="0"/>
                <w:sz w:val="15"/>
              </w:rPr>
              <w:t>Within-IGO objective/strategy categories associated with environmental protection, climate action, biodiversity, inclusion, rights, social justice, monitoring, and accountability.</w:t>
            </w:r>
          </w:p>
        </w:tc>
      </w:tr>
      <w:tr>
        <w:tc>
          <w:tcPr>
            <w:tcW w:type="dxa" w:w="3168"/>
            <w:vAlign w:val="top"/>
          </w:tcPr>
          <w:p>
            <w:pPr>
              <w:spacing w:after="0" w:line="240" w:lineRule="auto"/>
            </w:pPr>
            <w:r/>
            <w:r>
              <w:rPr>
                <w:b w:val="0"/>
                <w:sz w:val="15"/>
              </w:rPr>
              <w:t>Functional alignment score</w:t>
            </w:r>
          </w:p>
        </w:tc>
        <w:tc>
          <w:tcPr>
            <w:tcW w:type="dxa" w:w="7632"/>
            <w:vAlign w:val="top"/>
          </w:tcPr>
          <w:p>
            <w:pPr>
              <w:spacing w:after="0" w:line="240" w:lineRule="auto"/>
            </w:pPr>
            <w:r/>
            <w:r>
              <w:rPr>
                <w:b w:val="0"/>
                <w:sz w:val="15"/>
              </w:rPr>
              <w:t>technical_rule_emphasis - guardrail_emphasis. Positive values indicate technical-rule dominance; negative values indicate guardrail dominance; near-zero values indicate balance.</w:t>
            </w:r>
          </w:p>
        </w:tc>
      </w:tr>
    </w:tbl>
    <w:p>
      <w:pPr>
        <w:pStyle w:val="AppendixCodeTitle"/>
      </w:pPr>
      <w:r>
        <w:t>Core calculations for Section 5.4</w:t>
      </w:r>
    </w:p>
    <w:p>
      <w:pPr>
        <w:pStyle w:val="AppendixCode"/>
      </w:pPr>
      <w:r>
        <w:t>regulatory_strength     = rowMeans(regulatory_component_columns)</w:t>
      </w:r>
    </w:p>
    <w:p>
      <w:pPr>
        <w:pStyle w:val="AppendixCode"/>
      </w:pPr>
      <w:r>
        <w:t>delivery_capacity       = rowMeans(delivery_component_columns)</w:t>
      </w:r>
    </w:p>
    <w:p>
      <w:pPr>
        <w:pStyle w:val="AppendixCode"/>
      </w:pPr>
      <w:r>
        <w:t>regulatory_delivery_gap = regulatory_strength - delivery_capacity</w:t>
      </w:r>
    </w:p>
    <w:p>
      <w:pPr>
        <w:pStyle w:val="AppendixCode"/>
      </w:pPr>
      <w:r/>
    </w:p>
    <w:p>
      <w:pPr>
        <w:pStyle w:val="AppendixCode"/>
      </w:pPr>
      <w:r>
        <w:t>functional_alignment_score = technical_rule_emphasis - guardrail_emphasis</w:t>
      </w:r>
    </w:p>
    <w:tbl>
      <w:tblPr>
        <w:tblStyle w:val="TableGrid"/>
        <w:tblW w:type="auto" w:w="0"/>
        <w:jc w:val="center"/>
        <w:tblLook w:firstColumn="1" w:firstRow="1" w:lastColumn="0" w:lastRow="0" w:noHBand="0" w:noVBand="1" w:val="04A0"/>
      </w:tblPr>
      <w:tblGrid>
        <w:gridCol w:w="5040"/>
        <w:gridCol w:w="5040"/>
      </w:tblGrid>
      <w:tr>
        <w:tc>
          <w:tcPr>
            <w:tcW w:type="dxa" w:w="4608"/>
            <w:vAlign w:val="top"/>
            <w:shd w:fill="D9EAF7"/>
          </w:tcPr>
          <w:p>
            <w:pPr>
              <w:spacing w:after="0" w:line="240" w:lineRule="auto"/>
            </w:pPr>
            <w:r/>
            <w:r>
              <w:rPr>
                <w:b/>
                <w:sz w:val="15"/>
              </w:rPr>
              <w:t>Section 5.4 output</w:t>
            </w:r>
          </w:p>
        </w:tc>
        <w:tc>
          <w:tcPr>
            <w:tcW w:type="dxa" w:w="6192"/>
            <w:vAlign w:val="top"/>
            <w:shd w:fill="D9EAF7"/>
          </w:tcPr>
          <w:p>
            <w:pPr>
              <w:spacing w:after="0" w:line="240" w:lineRule="auto"/>
            </w:pPr>
            <w:r/>
            <w:r>
              <w:rPr>
                <w:b/>
                <w:sz w:val="15"/>
              </w:rPr>
              <w:t>Description</w:t>
            </w:r>
          </w:p>
        </w:tc>
      </w:tr>
      <w:tr>
        <w:tc>
          <w:tcPr>
            <w:tcW w:type="dxa" w:w="4608"/>
            <w:vAlign w:val="top"/>
          </w:tcPr>
          <w:p>
            <w:pPr>
              <w:spacing w:after="0" w:line="240" w:lineRule="auto"/>
            </w:pPr>
            <w:r/>
            <w:r>
              <w:rPr>
                <w:b w:val="0"/>
                <w:sz w:val="15"/>
              </w:rPr>
              <w:t>regulatory_delivery_scores_all_48_igos.csv</w:t>
            </w:r>
          </w:p>
        </w:tc>
        <w:tc>
          <w:tcPr>
            <w:tcW w:type="dxa" w:w="6192"/>
            <w:vAlign w:val="top"/>
          </w:tcPr>
          <w:p>
            <w:pPr>
              <w:spacing w:after="0" w:line="240" w:lineRule="auto"/>
            </w:pPr>
            <w:r/>
            <w:r>
              <w:rPr>
                <w:b w:val="0"/>
                <w:sz w:val="15"/>
              </w:rPr>
              <w:t>Full 48-IGO export for regulatory strength, delivery capacity, regulatory-delivery gap, and component categories.</w:t>
            </w:r>
          </w:p>
        </w:tc>
      </w:tr>
      <w:tr>
        <w:tc>
          <w:tcPr>
            <w:tcW w:type="dxa" w:w="4608"/>
            <w:vAlign w:val="top"/>
          </w:tcPr>
          <w:p>
            <w:pPr>
              <w:spacing w:after="0" w:line="240" w:lineRule="auto"/>
            </w:pPr>
            <w:r/>
            <w:r>
              <w:rPr>
                <w:b w:val="0"/>
                <w:sz w:val="15"/>
              </w:rPr>
              <w:t>figure_5_10_regulatory_delivery_plot_data_all_48_igos.csv</w:t>
            </w:r>
          </w:p>
        </w:tc>
        <w:tc>
          <w:tcPr>
            <w:tcW w:type="dxa" w:w="6192"/>
            <w:vAlign w:val="top"/>
          </w:tcPr>
          <w:p>
            <w:pPr>
              <w:spacing w:after="0" w:line="240" w:lineRule="auto"/>
            </w:pPr>
            <w:r/>
            <w:r>
              <w:rPr>
                <w:b w:val="0"/>
                <w:sz w:val="15"/>
              </w:rPr>
              <w:t>Plot-ready data for Figure 5.10.</w:t>
            </w:r>
          </w:p>
        </w:tc>
      </w:tr>
      <w:tr>
        <w:tc>
          <w:tcPr>
            <w:tcW w:type="dxa" w:w="4608"/>
            <w:vAlign w:val="top"/>
          </w:tcPr>
          <w:p>
            <w:pPr>
              <w:spacing w:after="0" w:line="240" w:lineRule="auto"/>
            </w:pPr>
            <w:r/>
            <w:r>
              <w:rPr>
                <w:b w:val="0"/>
                <w:sz w:val="15"/>
              </w:rPr>
              <w:t>functional_alignment_scores_all_48_igos.csv</w:t>
            </w:r>
          </w:p>
        </w:tc>
        <w:tc>
          <w:tcPr>
            <w:tcW w:type="dxa" w:w="6192"/>
            <w:vAlign w:val="top"/>
          </w:tcPr>
          <w:p>
            <w:pPr>
              <w:spacing w:after="0" w:line="240" w:lineRule="auto"/>
            </w:pPr>
            <w:r/>
            <w:r>
              <w:rPr>
                <w:b w:val="0"/>
                <w:sz w:val="15"/>
              </w:rPr>
              <w:t>Full 48-IGO functional alignment score export.</w:t>
            </w:r>
          </w:p>
        </w:tc>
      </w:tr>
      <w:tr>
        <w:tc>
          <w:tcPr>
            <w:tcW w:type="dxa" w:w="4608"/>
            <w:vAlign w:val="top"/>
          </w:tcPr>
          <w:p>
            <w:pPr>
              <w:spacing w:after="0" w:line="240" w:lineRule="auto"/>
            </w:pPr>
            <w:r/>
            <w:r>
              <w:rPr>
                <w:b w:val="0"/>
                <w:sz w:val="15"/>
              </w:rPr>
              <w:t>functional_orientation_classes_all_48_igos.csv</w:t>
            </w:r>
          </w:p>
        </w:tc>
        <w:tc>
          <w:tcPr>
            <w:tcW w:type="dxa" w:w="6192"/>
            <w:vAlign w:val="top"/>
          </w:tcPr>
          <w:p>
            <w:pPr>
              <w:spacing w:after="0" w:line="240" w:lineRule="auto"/>
            </w:pPr>
            <w:r/>
            <w:r>
              <w:rPr>
                <w:b w:val="0"/>
                <w:sz w:val="15"/>
              </w:rPr>
              <w:t>Full 48-case functional orientation class membership.</w:t>
            </w:r>
          </w:p>
        </w:tc>
      </w:tr>
      <w:tr>
        <w:tc>
          <w:tcPr>
            <w:tcW w:type="dxa" w:w="4608"/>
            <w:vAlign w:val="top"/>
          </w:tcPr>
          <w:p>
            <w:pPr>
              <w:spacing w:after="0" w:line="240" w:lineRule="auto"/>
            </w:pPr>
            <w:r/>
            <w:r>
              <w:rPr>
                <w:b w:val="0"/>
                <w:sz w:val="15"/>
              </w:rPr>
              <w:t>functional_orientation_class_counts_all_48_igos.csv</w:t>
            </w:r>
          </w:p>
        </w:tc>
        <w:tc>
          <w:tcPr>
            <w:tcW w:type="dxa" w:w="6192"/>
            <w:vAlign w:val="top"/>
          </w:tcPr>
          <w:p>
            <w:pPr>
              <w:spacing w:after="0" w:line="240" w:lineRule="auto"/>
            </w:pPr>
            <w:r/>
            <w:r>
              <w:rPr>
                <w:b w:val="0"/>
                <w:sz w:val="15"/>
              </w:rPr>
              <w:t>Class counts and member lists for the functional orientation classes.</w:t>
            </w:r>
          </w:p>
        </w:tc>
      </w:tr>
      <w:tr>
        <w:tc>
          <w:tcPr>
            <w:tcW w:type="dxa" w:w="4608"/>
            <w:vAlign w:val="top"/>
          </w:tcPr>
          <w:p>
            <w:pPr>
              <w:spacing w:after="0" w:line="240" w:lineRule="auto"/>
            </w:pPr>
            <w:r/>
            <w:r>
              <w:rPr>
                <w:b w:val="0"/>
                <w:sz w:val="15"/>
              </w:rPr>
              <w:t>figure_5_11_functional_orientation_sunburst_data_all_48_igos.csv</w:t>
            </w:r>
          </w:p>
        </w:tc>
        <w:tc>
          <w:tcPr>
            <w:tcW w:type="dxa" w:w="6192"/>
            <w:vAlign w:val="top"/>
          </w:tcPr>
          <w:p>
            <w:pPr>
              <w:spacing w:after="0" w:line="240" w:lineRule="auto"/>
            </w:pPr>
            <w:r/>
            <w:r>
              <w:rPr>
                <w:b w:val="0"/>
                <w:sz w:val="15"/>
              </w:rPr>
              <w:t>Hierarchy-ready data for Figure 5.11, the functional profile hierarchy/sunburst.</w:t>
            </w:r>
          </w:p>
        </w:tc>
      </w:tr>
      <w:tr>
        <w:tc>
          <w:tcPr>
            <w:tcW w:type="dxa" w:w="4608"/>
            <w:vAlign w:val="top"/>
          </w:tcPr>
          <w:p>
            <w:pPr>
              <w:spacing w:after="0" w:line="240" w:lineRule="auto"/>
            </w:pPr>
            <w:r/>
            <w:r>
              <w:rPr>
                <w:b w:val="0"/>
                <w:sz w:val="15"/>
              </w:rPr>
              <w:t>figure_5_12_functional_alignment_plot_data_all_48_igos.csv</w:t>
            </w:r>
          </w:p>
        </w:tc>
        <w:tc>
          <w:tcPr>
            <w:tcW w:type="dxa" w:w="6192"/>
            <w:vAlign w:val="top"/>
          </w:tcPr>
          <w:p>
            <w:pPr>
              <w:spacing w:after="0" w:line="240" w:lineRule="auto"/>
            </w:pPr>
            <w:r/>
            <w:r>
              <w:rPr>
                <w:b w:val="0"/>
                <w:sz w:val="15"/>
              </w:rPr>
              <w:t>Ranked distribution data for Figure 5.12, the functional alignment bar chart.</w:t>
            </w:r>
          </w:p>
        </w:tc>
      </w:tr>
      <w:tr>
        <w:tc>
          <w:tcPr>
            <w:tcW w:type="dxa" w:w="4608"/>
            <w:vAlign w:val="top"/>
          </w:tcPr>
          <w:p>
            <w:pPr>
              <w:spacing w:after="0" w:line="240" w:lineRule="auto"/>
            </w:pPr>
            <w:r/>
            <w:r>
              <w:rPr>
                <w:b w:val="0"/>
                <w:sz w:val="15"/>
              </w:rPr>
              <w:t>functional_score_construction_audit.md</w:t>
            </w:r>
          </w:p>
        </w:tc>
        <w:tc>
          <w:tcPr>
            <w:tcW w:type="dxa" w:w="6192"/>
            <w:vAlign w:val="top"/>
          </w:tcPr>
          <w:p>
            <w:pPr>
              <w:spacing w:after="0" w:line="240" w:lineRule="auto"/>
            </w:pPr>
            <w:r/>
            <w:r>
              <w:rPr>
                <w:b w:val="0"/>
                <w:sz w:val="15"/>
              </w:rPr>
              <w:t>Formula and provenance notes for the Section 5.4 functional score exports.</w:t>
            </w:r>
          </w:p>
        </w:tc>
      </w:tr>
    </w:tbl>
    <w:p>
      <w:pPr>
        <w:pStyle w:val="Heading1"/>
      </w:pPr>
      <w:r>
        <w:t>A5.10 Table and figure provenance map</w:t>
      </w:r>
    </w:p>
    <w:tbl>
      <w:tblPr>
        <w:tblStyle w:val="TableGrid"/>
        <w:tblW w:type="auto" w:w="0"/>
        <w:jc w:val="center"/>
        <w:tblLook w:firstColumn="1" w:firstRow="1" w:lastColumn="0" w:lastRow="0" w:noHBand="0" w:noVBand="1" w:val="04A0"/>
      </w:tblPr>
      <w:tblGrid>
        <w:gridCol w:w="5040"/>
        <w:gridCol w:w="5040"/>
      </w:tblGrid>
      <w:tr>
        <w:tc>
          <w:tcPr>
            <w:tcW w:type="dxa" w:w="2232"/>
            <w:vAlign w:val="top"/>
            <w:shd w:fill="D9EAF7"/>
          </w:tcPr>
          <w:p>
            <w:pPr>
              <w:spacing w:after="0" w:line="240" w:lineRule="auto"/>
            </w:pPr>
            <w:r/>
            <w:r>
              <w:rPr>
                <w:b/>
                <w:sz w:val="15"/>
              </w:rPr>
              <w:t>Chapter output</w:t>
            </w:r>
          </w:p>
        </w:tc>
        <w:tc>
          <w:tcPr>
            <w:tcW w:type="dxa" w:w="8568"/>
            <w:vAlign w:val="top"/>
            <w:shd w:fill="D9EAF7"/>
          </w:tcPr>
          <w:p>
            <w:pPr>
              <w:spacing w:after="0" w:line="240" w:lineRule="auto"/>
            </w:pPr>
            <w:r/>
            <w:r>
              <w:rPr>
                <w:b/>
                <w:sz w:val="15"/>
              </w:rPr>
              <w:t>Primary archived source</w:t>
            </w:r>
          </w:p>
        </w:tc>
      </w:tr>
      <w:tr>
        <w:tc>
          <w:tcPr>
            <w:tcW w:type="dxa" w:w="2232"/>
            <w:vAlign w:val="top"/>
          </w:tcPr>
          <w:p>
            <w:pPr>
              <w:spacing w:after="0" w:line="240" w:lineRule="auto"/>
            </w:pPr>
            <w:r/>
            <w:r>
              <w:rPr>
                <w:b w:val="0"/>
                <w:sz w:val="15"/>
              </w:rPr>
              <w:t>Table 5.1</w:t>
            </w:r>
          </w:p>
        </w:tc>
        <w:tc>
          <w:tcPr>
            <w:tcW w:type="dxa" w:w="8568"/>
            <w:vAlign w:val="top"/>
          </w:tcPr>
          <w:p>
            <w:pPr>
              <w:spacing w:after="0" w:line="240" w:lineRule="auto"/>
            </w:pPr>
            <w:r/>
            <w:r>
              <w:rPr>
                <w:b w:val="0"/>
                <w:sz w:val="15"/>
              </w:rPr>
              <w:t>Chapter 5 analytical mapping from Attribute Matrix families; source files in 01_raw_inputs/normalised_attribute_workbooks/.</w:t>
            </w:r>
          </w:p>
        </w:tc>
      </w:tr>
      <w:tr>
        <w:tc>
          <w:tcPr>
            <w:tcW w:type="dxa" w:w="2232"/>
            <w:vAlign w:val="top"/>
          </w:tcPr>
          <w:p>
            <w:pPr>
              <w:spacing w:after="0" w:line="240" w:lineRule="auto"/>
            </w:pPr>
            <w:r/>
            <w:r>
              <w:rPr>
                <w:b w:val="0"/>
                <w:sz w:val="15"/>
              </w:rPr>
              <w:t>Table 5.2</w:t>
            </w:r>
          </w:p>
        </w:tc>
        <w:tc>
          <w:tcPr>
            <w:tcW w:type="dxa" w:w="8568"/>
            <w:vAlign w:val="top"/>
          </w:tcPr>
          <w:p>
            <w:pPr>
              <w:spacing w:after="0" w:line="240" w:lineRule="auto"/>
            </w:pPr>
            <w:r/>
            <w:r>
              <w:rPr>
                <w:b w:val="0"/>
                <w:sz w:val="15"/>
              </w:rPr>
              <w:t>03_scripts/R/ and package/tool roles listed in this appendix.</w:t>
            </w:r>
          </w:p>
        </w:tc>
      </w:tr>
      <w:tr>
        <w:tc>
          <w:tcPr>
            <w:tcW w:type="dxa" w:w="2232"/>
            <w:vAlign w:val="top"/>
          </w:tcPr>
          <w:p>
            <w:pPr>
              <w:spacing w:after="0" w:line="240" w:lineRule="auto"/>
            </w:pPr>
            <w:r/>
            <w:r>
              <w:rPr>
                <w:b w:val="0"/>
                <w:sz w:val="15"/>
              </w:rPr>
              <w:t>Table 5.3</w:t>
            </w:r>
          </w:p>
        </w:tc>
        <w:tc>
          <w:tcPr>
            <w:tcW w:type="dxa" w:w="8568"/>
            <w:vAlign w:val="top"/>
          </w:tcPr>
          <w:p>
            <w:pPr>
              <w:spacing w:after="0" w:line="240" w:lineRule="auto"/>
            </w:pPr>
            <w:r/>
            <w:r>
              <w:rPr>
                <w:b w:val="0"/>
                <w:sz w:val="15"/>
              </w:rPr>
              <w:t>Conceptual operationalisation of dyadic mandate, relational, and delta incongruence measures.</w:t>
            </w:r>
          </w:p>
        </w:tc>
      </w:tr>
      <w:tr>
        <w:tc>
          <w:tcPr>
            <w:tcW w:type="dxa" w:w="2232"/>
            <w:vAlign w:val="top"/>
          </w:tcPr>
          <w:p>
            <w:pPr>
              <w:spacing w:after="0" w:line="240" w:lineRule="auto"/>
            </w:pPr>
            <w:r/>
            <w:r>
              <w:rPr>
                <w:b w:val="0"/>
                <w:sz w:val="15"/>
              </w:rPr>
              <w:t>Figure 5.1</w:t>
            </w:r>
          </w:p>
        </w:tc>
        <w:tc>
          <w:tcPr>
            <w:tcW w:type="dxa" w:w="8568"/>
            <w:vAlign w:val="top"/>
          </w:tcPr>
          <w:p>
            <w:pPr>
              <w:spacing w:after="0" w:line="240" w:lineRule="auto"/>
            </w:pPr>
            <w:r/>
            <w:r>
              <w:rPr>
                <w:b w:val="0"/>
                <w:sz w:val="15"/>
              </w:rPr>
              <w:t>dyadic_mandate_relational_similarity.csv; script 01_figure_5_1_delta_distribution.R; files fig_5_1_delta_incongruence_distribution.*</w:t>
            </w:r>
          </w:p>
        </w:tc>
      </w:tr>
      <w:tr>
        <w:tc>
          <w:tcPr>
            <w:tcW w:type="dxa" w:w="2232"/>
            <w:vAlign w:val="top"/>
          </w:tcPr>
          <w:p>
            <w:pPr>
              <w:spacing w:after="0" w:line="240" w:lineRule="auto"/>
            </w:pPr>
            <w:r/>
            <w:r>
              <w:rPr>
                <w:b w:val="0"/>
                <w:sz w:val="15"/>
              </w:rPr>
              <w:t>Table 5.4</w:t>
            </w:r>
          </w:p>
        </w:tc>
        <w:tc>
          <w:tcPr>
            <w:tcW w:type="dxa" w:w="8568"/>
            <w:vAlign w:val="top"/>
          </w:tcPr>
          <w:p>
            <w:pPr>
              <w:spacing w:after="0" w:line="240" w:lineRule="auto"/>
            </w:pPr>
            <w:r/>
            <w:r>
              <w:rPr>
                <w:b w:val="0"/>
                <w:sz w:val="15"/>
              </w:rPr>
              <w:t>table_5_4_delta_incongruence_distribution.csv</w:t>
            </w:r>
          </w:p>
        </w:tc>
      </w:tr>
      <w:tr>
        <w:tc>
          <w:tcPr>
            <w:tcW w:type="dxa" w:w="2232"/>
            <w:vAlign w:val="top"/>
          </w:tcPr>
          <w:p>
            <w:pPr>
              <w:spacing w:after="0" w:line="240" w:lineRule="auto"/>
            </w:pPr>
            <w:r/>
            <w:r>
              <w:rPr>
                <w:b w:val="0"/>
                <w:sz w:val="15"/>
              </w:rPr>
              <w:t>Table 5.5</w:t>
            </w:r>
          </w:p>
        </w:tc>
        <w:tc>
          <w:tcPr>
            <w:tcW w:type="dxa" w:w="8568"/>
            <w:vAlign w:val="top"/>
          </w:tcPr>
          <w:p>
            <w:pPr>
              <w:spacing w:after="0" w:line="240" w:lineRule="auto"/>
            </w:pPr>
            <w:r/>
            <w:r>
              <w:rPr>
                <w:b w:val="0"/>
                <w:sz w:val="15"/>
              </w:rPr>
              <w:t>table_5_5_filtering_conditions_highest_incongruence.csv</w:t>
            </w:r>
          </w:p>
        </w:tc>
      </w:tr>
      <w:tr>
        <w:tc>
          <w:tcPr>
            <w:tcW w:type="dxa" w:w="2232"/>
            <w:vAlign w:val="top"/>
          </w:tcPr>
          <w:p>
            <w:pPr>
              <w:spacing w:after="0" w:line="240" w:lineRule="auto"/>
            </w:pPr>
            <w:r/>
            <w:r>
              <w:rPr>
                <w:b w:val="0"/>
                <w:sz w:val="15"/>
              </w:rPr>
              <w:t>Table 5.6</w:t>
            </w:r>
          </w:p>
        </w:tc>
        <w:tc>
          <w:tcPr>
            <w:tcW w:type="dxa" w:w="8568"/>
            <w:vAlign w:val="top"/>
          </w:tcPr>
          <w:p>
            <w:pPr>
              <w:spacing w:after="0" w:line="240" w:lineRule="auto"/>
            </w:pPr>
            <w:r/>
            <w:r>
              <w:rPr>
                <w:b w:val="0"/>
                <w:sz w:val="15"/>
              </w:rPr>
              <w:t>table_5_6_highest_incongruence_dyads.csv; highest_incongruence_dyads.csv</w:t>
            </w:r>
          </w:p>
        </w:tc>
      </w:tr>
      <w:tr>
        <w:tc>
          <w:tcPr>
            <w:tcW w:type="dxa" w:w="2232"/>
            <w:vAlign w:val="top"/>
          </w:tcPr>
          <w:p>
            <w:pPr>
              <w:spacing w:after="0" w:line="240" w:lineRule="auto"/>
            </w:pPr>
            <w:r/>
            <w:r>
              <w:rPr>
                <w:b w:val="0"/>
                <w:sz w:val="15"/>
              </w:rPr>
              <w:t>Figure 5.2</w:t>
            </w:r>
          </w:p>
        </w:tc>
        <w:tc>
          <w:tcPr>
            <w:tcW w:type="dxa" w:w="8568"/>
            <w:vAlign w:val="top"/>
          </w:tcPr>
          <w:p>
            <w:pPr>
              <w:spacing w:after="0" w:line="240" w:lineRule="auto"/>
            </w:pPr>
            <w:r/>
            <w:r>
              <w:rPr>
                <w:b w:val="0"/>
                <w:sz w:val="15"/>
              </w:rPr>
              <w:t>dyadic_mandate_relational_similarity.csv; script 02_figure_5_2_mandate_relational_space.R; files fig_5_2_mandate_relational_similarity_space.*</w:t>
            </w:r>
          </w:p>
        </w:tc>
      </w:tr>
      <w:tr>
        <w:tc>
          <w:tcPr>
            <w:tcW w:type="dxa" w:w="2232"/>
            <w:vAlign w:val="top"/>
          </w:tcPr>
          <w:p>
            <w:pPr>
              <w:spacing w:after="0" w:line="240" w:lineRule="auto"/>
            </w:pPr>
            <w:r/>
            <w:r>
              <w:rPr>
                <w:b w:val="0"/>
                <w:sz w:val="15"/>
              </w:rPr>
              <w:t>Figure 5.3</w:t>
            </w:r>
          </w:p>
        </w:tc>
        <w:tc>
          <w:tcPr>
            <w:tcW w:type="dxa" w:w="8568"/>
            <w:vAlign w:val="top"/>
          </w:tcPr>
          <w:p>
            <w:pPr>
              <w:spacing w:after="0" w:line="240" w:lineRule="auto"/>
            </w:pPr>
            <w:r/>
            <w:r>
              <w:rPr>
                <w:b w:val="0"/>
                <w:sz w:val="15"/>
              </w:rPr>
              <w:t>figure_5_3_retained_mandate_overlap_edges.csv; figure_5_3_retained_mandate_overlap_node_summary.csv; files fig_5_3_strongest_mandate_overlap_ties.*</w:t>
            </w:r>
          </w:p>
        </w:tc>
      </w:tr>
      <w:tr>
        <w:tc>
          <w:tcPr>
            <w:tcW w:type="dxa" w:w="2232"/>
            <w:vAlign w:val="top"/>
          </w:tcPr>
          <w:p>
            <w:pPr>
              <w:spacing w:after="0" w:line="240" w:lineRule="auto"/>
            </w:pPr>
            <w:r/>
            <w:r>
              <w:rPr>
                <w:b w:val="0"/>
                <w:sz w:val="15"/>
              </w:rPr>
              <w:t>Table 5.7</w:t>
            </w:r>
          </w:p>
        </w:tc>
        <w:tc>
          <w:tcPr>
            <w:tcW w:type="dxa" w:w="8568"/>
            <w:vAlign w:val="top"/>
          </w:tcPr>
          <w:p>
            <w:pPr>
              <w:spacing w:after="0" w:line="240" w:lineRule="auto"/>
            </w:pPr>
            <w:r/>
            <w:r>
              <w:rPr>
                <w:b w:val="0"/>
                <w:sz w:val="15"/>
              </w:rPr>
              <w:t>table_5_7_network_level_descriptive_statistics.csv</w:t>
            </w:r>
          </w:p>
        </w:tc>
      </w:tr>
      <w:tr>
        <w:tc>
          <w:tcPr>
            <w:tcW w:type="dxa" w:w="2232"/>
            <w:vAlign w:val="top"/>
          </w:tcPr>
          <w:p>
            <w:pPr>
              <w:spacing w:after="0" w:line="240" w:lineRule="auto"/>
            </w:pPr>
            <w:r/>
            <w:r>
              <w:rPr>
                <w:b w:val="0"/>
                <w:sz w:val="15"/>
              </w:rPr>
              <w:t>Table 5.8</w:t>
            </w:r>
          </w:p>
        </w:tc>
        <w:tc>
          <w:tcPr>
            <w:tcW w:type="dxa" w:w="8568"/>
            <w:vAlign w:val="top"/>
          </w:tcPr>
          <w:p>
            <w:pPr>
              <w:spacing w:after="0" w:line="240" w:lineRule="auto"/>
            </w:pPr>
            <w:r/>
            <w:r>
              <w:rPr>
                <w:b w:val="0"/>
                <w:sz w:val="15"/>
              </w:rPr>
              <w:t>table_5_8_selected_centrality_results.csv; relational_network_node_metrics_q90.csv</w:t>
            </w:r>
          </w:p>
        </w:tc>
      </w:tr>
      <w:tr>
        <w:tc>
          <w:tcPr>
            <w:tcW w:type="dxa" w:w="2232"/>
            <w:vAlign w:val="top"/>
          </w:tcPr>
          <w:p>
            <w:pPr>
              <w:spacing w:after="0" w:line="240" w:lineRule="auto"/>
            </w:pPr>
            <w:r/>
            <w:r>
              <w:rPr>
                <w:b w:val="0"/>
                <w:sz w:val="15"/>
              </w:rPr>
              <w:t>Figures 5.7-5.9</w:t>
            </w:r>
          </w:p>
        </w:tc>
        <w:tc>
          <w:tcPr>
            <w:tcW w:type="dxa" w:w="8568"/>
            <w:vAlign w:val="top"/>
          </w:tcPr>
          <w:p>
            <w:pPr>
              <w:spacing w:after="0" w:line="240" w:lineRule="auto"/>
            </w:pPr>
            <w:r/>
            <w:r>
              <w:rPr>
                <w:b w:val="0"/>
                <w:sz w:val="15"/>
              </w:rPr>
              <w:t>relational_network_edges_q90.csv and relational_network_node_metrics_q90.csv; Figure 5.9 draft in 04_figures/design_drafts/.</w:t>
            </w:r>
          </w:p>
        </w:tc>
      </w:tr>
      <w:tr>
        <w:tc>
          <w:tcPr>
            <w:tcW w:type="dxa" w:w="2232"/>
            <w:vAlign w:val="top"/>
          </w:tcPr>
          <w:p>
            <w:pPr>
              <w:spacing w:after="0" w:line="240" w:lineRule="auto"/>
            </w:pPr>
            <w:r/>
            <w:r>
              <w:rPr>
                <w:b w:val="0"/>
                <w:sz w:val="15"/>
              </w:rPr>
              <w:t>Table 5.10 / Figure 5.10</w:t>
            </w:r>
          </w:p>
        </w:tc>
        <w:tc>
          <w:tcPr>
            <w:tcW w:type="dxa" w:w="8568"/>
            <w:vAlign w:val="top"/>
          </w:tcPr>
          <w:p>
            <w:pPr>
              <w:spacing w:after="0" w:line="240" w:lineRule="auto"/>
            </w:pPr>
            <w:r/>
            <w:r>
              <w:rPr>
                <w:b w:val="0"/>
                <w:sz w:val="15"/>
              </w:rPr>
              <w:t>regulatory_delivery_scores_all_48_igos.csv; figure_5_10_regulatory_delivery_plot_data_all_48_igos.csv; table_5_10_selected_regulatory_delivery_gap_results.csv</w:t>
            </w:r>
          </w:p>
        </w:tc>
      </w:tr>
      <w:tr>
        <w:tc>
          <w:tcPr>
            <w:tcW w:type="dxa" w:w="2232"/>
            <w:vAlign w:val="top"/>
          </w:tcPr>
          <w:p>
            <w:pPr>
              <w:spacing w:after="0" w:line="240" w:lineRule="auto"/>
            </w:pPr>
            <w:r/>
            <w:r>
              <w:rPr>
                <w:b w:val="0"/>
                <w:sz w:val="15"/>
              </w:rPr>
              <w:t>Table 5.11 / Figure 5.11</w:t>
            </w:r>
          </w:p>
        </w:tc>
        <w:tc>
          <w:tcPr>
            <w:tcW w:type="dxa" w:w="8568"/>
            <w:vAlign w:val="top"/>
          </w:tcPr>
          <w:p>
            <w:pPr>
              <w:spacing w:after="0" w:line="240" w:lineRule="auto"/>
            </w:pPr>
            <w:r/>
            <w:r>
              <w:rPr>
                <w:b w:val="0"/>
                <w:sz w:val="15"/>
              </w:rPr>
              <w:t>functional_orientation_classes_all_48_igos.csv; functional_orientation_class_counts_all_48_igos.csv; figure_5_11_functional_orientation_sunburst_data_all_48_igos.csv</w:t>
            </w:r>
          </w:p>
        </w:tc>
      </w:tr>
      <w:tr>
        <w:tc>
          <w:tcPr>
            <w:tcW w:type="dxa" w:w="2232"/>
            <w:vAlign w:val="top"/>
          </w:tcPr>
          <w:p>
            <w:pPr>
              <w:spacing w:after="0" w:line="240" w:lineRule="auto"/>
            </w:pPr>
            <w:r/>
            <w:r>
              <w:rPr>
                <w:b w:val="0"/>
                <w:sz w:val="15"/>
              </w:rPr>
              <w:t>Table 5.12 / Figure 5.12</w:t>
            </w:r>
          </w:p>
        </w:tc>
        <w:tc>
          <w:tcPr>
            <w:tcW w:type="dxa" w:w="8568"/>
            <w:vAlign w:val="top"/>
          </w:tcPr>
          <w:p>
            <w:pPr>
              <w:spacing w:after="0" w:line="240" w:lineRule="auto"/>
            </w:pPr>
            <w:r/>
            <w:r>
              <w:rPr>
                <w:b w:val="0"/>
                <w:sz w:val="15"/>
              </w:rPr>
              <w:t>functional_alignment_scores_all_48_igos.csv; figure_5_12_functional_alignment_plot_data_all_48_igos.csv; table_5_12_selected_functional_alignment_scores.csv</w:t>
            </w:r>
          </w:p>
        </w:tc>
      </w:tr>
    </w:tbl>
    <w:p>
      <w:pPr>
        <w:pStyle w:val="Heading1"/>
      </w:pPr>
      <w:r>
        <w:t>A5.11 Quality assurance, reproducibility, and limitations</w:t>
      </w:r>
    </w:p>
    <w:tbl>
      <w:tblPr>
        <w:tblStyle w:val="TableGrid"/>
        <w:tblW w:type="auto" w:w="0"/>
        <w:jc w:val="center"/>
        <w:tblLook w:firstColumn="1" w:firstRow="1" w:lastColumn="0" w:lastRow="0" w:noHBand="0" w:noVBand="1" w:val="04A0"/>
      </w:tblPr>
      <w:tblGrid>
        <w:gridCol w:w="5040"/>
        <w:gridCol w:w="5040"/>
      </w:tblGrid>
      <w:tr>
        <w:tc>
          <w:tcPr>
            <w:tcW w:type="dxa" w:w="2448"/>
            <w:vAlign w:val="top"/>
            <w:shd w:fill="D9EAF7"/>
          </w:tcPr>
          <w:p>
            <w:pPr>
              <w:spacing w:after="0" w:line="240" w:lineRule="auto"/>
            </w:pPr>
            <w:r/>
            <w:r>
              <w:rPr>
                <w:b/>
                <w:sz w:val="15"/>
              </w:rPr>
              <w:t>QA item</w:t>
            </w:r>
          </w:p>
        </w:tc>
        <w:tc>
          <w:tcPr>
            <w:tcW w:type="dxa" w:w="8352"/>
            <w:vAlign w:val="top"/>
            <w:shd w:fill="D9EAF7"/>
          </w:tcPr>
          <w:p>
            <w:pPr>
              <w:spacing w:after="0" w:line="240" w:lineRule="auto"/>
            </w:pPr>
            <w:r/>
            <w:r>
              <w:rPr>
                <w:b/>
                <w:sz w:val="15"/>
              </w:rPr>
              <w:t>Implementation</w:t>
            </w:r>
          </w:p>
        </w:tc>
      </w:tr>
      <w:tr>
        <w:tc>
          <w:tcPr>
            <w:tcW w:type="dxa" w:w="2448"/>
            <w:vAlign w:val="top"/>
          </w:tcPr>
          <w:p>
            <w:pPr>
              <w:spacing w:after="0" w:line="240" w:lineRule="auto"/>
            </w:pPr>
            <w:r/>
            <w:r>
              <w:rPr>
                <w:b w:val="0"/>
                <w:sz w:val="15"/>
              </w:rPr>
              <w:t>Canonical names</w:t>
            </w:r>
          </w:p>
        </w:tc>
        <w:tc>
          <w:tcPr>
            <w:tcW w:type="dxa" w:w="8352"/>
            <w:vAlign w:val="top"/>
          </w:tcPr>
          <w:p>
            <w:pPr>
              <w:spacing w:after="0" w:line="240" w:lineRule="auto"/>
            </w:pPr>
            <w:r/>
            <w:r>
              <w:rPr>
                <w:b w:val="0"/>
                <w:sz w:val="15"/>
              </w:rPr>
              <w:t>Organisation names were harmonised before joining and comparing outputs. Archive labels preserve both canonical and figure labels where needed.</w:t>
            </w:r>
          </w:p>
        </w:tc>
      </w:tr>
      <w:tr>
        <w:tc>
          <w:tcPr>
            <w:tcW w:type="dxa" w:w="2448"/>
            <w:vAlign w:val="top"/>
          </w:tcPr>
          <w:p>
            <w:pPr>
              <w:spacing w:after="0" w:line="240" w:lineRule="auto"/>
            </w:pPr>
            <w:r/>
            <w:r>
              <w:rPr>
                <w:b w:val="0"/>
                <w:sz w:val="15"/>
              </w:rPr>
              <w:t>No duplicate dyads</w:t>
            </w:r>
          </w:p>
        </w:tc>
        <w:tc>
          <w:tcPr>
            <w:tcW w:type="dxa" w:w="8352"/>
            <w:vAlign w:val="top"/>
          </w:tcPr>
          <w:p>
            <w:pPr>
              <w:spacing w:after="0" w:line="240" w:lineRule="auto"/>
            </w:pPr>
            <w:r/>
            <w:r>
              <w:rPr>
                <w:b w:val="0"/>
                <w:sz w:val="15"/>
              </w:rPr>
              <w:t>Dyadic analysis excludes self-pairs and reversed duplicate pairs, producing 1,128 unordered dyads from 48 organisations.</w:t>
            </w:r>
          </w:p>
        </w:tc>
      </w:tr>
      <w:tr>
        <w:tc>
          <w:tcPr>
            <w:tcW w:type="dxa" w:w="2448"/>
            <w:vAlign w:val="top"/>
          </w:tcPr>
          <w:p>
            <w:pPr>
              <w:spacing w:after="0" w:line="240" w:lineRule="auto"/>
            </w:pPr>
            <w:r/>
            <w:r>
              <w:rPr>
                <w:b w:val="0"/>
                <w:sz w:val="15"/>
              </w:rPr>
              <w:t>Threshold transparency</w:t>
            </w:r>
          </w:p>
        </w:tc>
        <w:tc>
          <w:tcPr>
            <w:tcW w:type="dxa" w:w="8352"/>
            <w:vAlign w:val="top"/>
          </w:tcPr>
          <w:p>
            <w:pPr>
              <w:spacing w:after="0" w:line="240" w:lineRule="auto"/>
            </w:pPr>
            <w:r/>
            <w:r>
              <w:rPr>
                <w:b w:val="0"/>
                <w:sz w:val="15"/>
              </w:rPr>
              <w:t>q90 and q10 thresholds are stored in processed outputs and described in table notes. They are descriptive filters derived from this dataset.</w:t>
            </w:r>
          </w:p>
        </w:tc>
      </w:tr>
      <w:tr>
        <w:tc>
          <w:tcPr>
            <w:tcW w:type="dxa" w:w="2448"/>
            <w:vAlign w:val="top"/>
          </w:tcPr>
          <w:p>
            <w:pPr>
              <w:spacing w:after="0" w:line="240" w:lineRule="auto"/>
            </w:pPr>
            <w:r/>
            <w:r>
              <w:rPr>
                <w:b w:val="0"/>
                <w:sz w:val="15"/>
              </w:rPr>
              <w:t>Full 48-case outputs</w:t>
            </w:r>
          </w:p>
        </w:tc>
        <w:tc>
          <w:tcPr>
            <w:tcW w:type="dxa" w:w="8352"/>
            <w:vAlign w:val="top"/>
          </w:tcPr>
          <w:p>
            <w:pPr>
              <w:spacing w:after="0" w:line="240" w:lineRule="auto"/>
            </w:pPr>
            <w:r/>
            <w:r>
              <w:rPr>
                <w:b w:val="0"/>
                <w:sz w:val="15"/>
              </w:rPr>
              <w:t>Full exports are included for Section 5.4 so that selected chapter tables can be checked against the complete organisation-level score series.</w:t>
            </w:r>
          </w:p>
        </w:tc>
      </w:tr>
      <w:tr>
        <w:tc>
          <w:tcPr>
            <w:tcW w:type="dxa" w:w="2448"/>
            <w:vAlign w:val="top"/>
          </w:tcPr>
          <w:p>
            <w:pPr>
              <w:spacing w:after="0" w:line="240" w:lineRule="auto"/>
            </w:pPr>
            <w:r/>
            <w:r>
              <w:rPr>
                <w:b w:val="0"/>
                <w:sz w:val="15"/>
              </w:rPr>
              <w:t>Checksums</w:t>
            </w:r>
          </w:p>
        </w:tc>
        <w:tc>
          <w:tcPr>
            <w:tcW w:type="dxa" w:w="8352"/>
            <w:vAlign w:val="top"/>
          </w:tcPr>
          <w:p>
            <w:pPr>
              <w:spacing w:after="0" w:line="240" w:lineRule="auto"/>
            </w:pPr>
            <w:r/>
            <w:r>
              <w:rPr>
                <w:b w:val="0"/>
                <w:sz w:val="15"/>
              </w:rPr>
              <w:t>05_quality_assurance/checksums_sha256.txt records file-level SHA-256 checksums for integrity checking.</w:t>
            </w:r>
          </w:p>
        </w:tc>
      </w:tr>
      <w:tr>
        <w:tc>
          <w:tcPr>
            <w:tcW w:type="dxa" w:w="2448"/>
            <w:vAlign w:val="top"/>
          </w:tcPr>
          <w:p>
            <w:pPr>
              <w:spacing w:after="0" w:line="240" w:lineRule="auto"/>
            </w:pPr>
            <w:r/>
            <w:r>
              <w:rPr>
                <w:b w:val="0"/>
                <w:sz w:val="15"/>
              </w:rPr>
              <w:t>Manifest</w:t>
            </w:r>
          </w:p>
        </w:tc>
        <w:tc>
          <w:tcPr>
            <w:tcW w:type="dxa" w:w="8352"/>
            <w:vAlign w:val="top"/>
          </w:tcPr>
          <w:p>
            <w:pPr>
              <w:spacing w:after="0" w:line="240" w:lineRule="auto"/>
            </w:pPr>
            <w:r/>
            <w:r>
              <w:rPr>
                <w:b w:val="0"/>
                <w:sz w:val="15"/>
              </w:rPr>
              <w:t>MANIFEST.csv and MANIFEST.json provide file-level descriptions and should be used to locate data behind each table and figure.</w:t>
            </w:r>
          </w:p>
        </w:tc>
      </w:tr>
      <w:tr>
        <w:tc>
          <w:tcPr>
            <w:tcW w:type="dxa" w:w="2448"/>
            <w:vAlign w:val="top"/>
          </w:tcPr>
          <w:p>
            <w:pPr>
              <w:spacing w:after="0" w:line="240" w:lineRule="auto"/>
            </w:pPr>
            <w:r/>
            <w:r>
              <w:rPr>
                <w:b w:val="0"/>
                <w:sz w:val="15"/>
              </w:rPr>
              <w:t>Version capture</w:t>
            </w:r>
          </w:p>
        </w:tc>
        <w:tc>
          <w:tcPr>
            <w:tcW w:type="dxa" w:w="8352"/>
            <w:vAlign w:val="top"/>
          </w:tcPr>
          <w:p>
            <w:pPr>
              <w:spacing w:after="0" w:line="240" w:lineRule="auto"/>
            </w:pPr>
            <w:r/>
            <w:r>
              <w:rPr>
                <w:b w:val="0"/>
                <w:sz w:val="15"/>
              </w:rPr>
              <w:t>Package versions should be recorded by running sessionInfo() after reproduction. Exact versions are not fabricated in this appendix.</w:t>
            </w:r>
          </w:p>
        </w:tc>
      </w:tr>
      <w:tr>
        <w:tc>
          <w:tcPr>
            <w:tcW w:type="dxa" w:w="2448"/>
            <w:vAlign w:val="top"/>
          </w:tcPr>
          <w:p>
            <w:pPr>
              <w:spacing w:after="0" w:line="240" w:lineRule="auto"/>
            </w:pPr>
            <w:r/>
            <w:r>
              <w:rPr>
                <w:b w:val="0"/>
                <w:sz w:val="15"/>
              </w:rPr>
              <w:t>Interpretive limits</w:t>
            </w:r>
          </w:p>
        </w:tc>
        <w:tc>
          <w:tcPr>
            <w:tcW w:type="dxa" w:w="8352"/>
            <w:vAlign w:val="top"/>
          </w:tcPr>
          <w:p>
            <w:pPr>
              <w:spacing w:after="0" w:line="240" w:lineRule="auto"/>
            </w:pPr>
            <w:r/>
            <w:r>
              <w:rPr>
                <w:b w:val="0"/>
                <w:sz w:val="15"/>
              </w:rPr>
              <w:t>The outputs describe the coded documentary profiles of the 48-IGO field. They do not measure causal effectiveness, ecological outcomes, or the complete universe of informal institutional relationships.</w:t>
            </w:r>
          </w:p>
        </w:tc>
      </w:tr>
    </w:tbl>
    <w:p>
      <w:pPr>
        <w:pStyle w:val="Heading1"/>
      </w:pPr>
      <w:r>
        <w:t>A5.12 Archived R code listings</w:t>
      </w:r>
    </w:p>
    <w:p>
      <w:pPr>
        <w:spacing w:after="120"/>
      </w:pPr>
      <w:r>
        <w:t>The following code listings reproduce the scripts stored in 03_scripts/R/. The executable versions in the archive are the canonical scripts; the listings below are included so that the appendix can be read independently. The scripts are concise reproduction and verification scripts rather than a full interactive notebook.</w:t>
      </w:r>
    </w:p>
    <w:p>
      <w:pPr>
        <w:pStyle w:val="AppendixCodeTitle"/>
      </w:pPr>
      <w:r>
        <w:t>A5.12.1 00_setup_packages.R</w:t>
      </w:r>
    </w:p>
    <w:p>
      <w:pPr>
        <w:pStyle w:val="AppendixCode"/>
      </w:pPr>
      <w:r>
        <w:t># Chapter 5 data archive: setup packages</w:t>
      </w:r>
    </w:p>
    <w:p>
      <w:pPr>
        <w:pStyle w:val="AppendixCode"/>
      </w:pPr>
      <w:r>
        <w:t># Run from the archive root. This script checks for packages used by the Chapter 5</w:t>
      </w:r>
    </w:p>
    <w:p>
      <w:pPr>
        <w:pStyle w:val="AppendixCode"/>
      </w:pPr>
      <w:r>
        <w:t># computational workflow and installs missing packages from the active R repository.</w:t>
      </w:r>
    </w:p>
    <w:p>
      <w:pPr>
        <w:pStyle w:val="AppendixCode"/>
      </w:pPr>
      <w:r>
        <w:t>required &lt;- c(</w:t>
      </w:r>
    </w:p>
    <w:p>
      <w:pPr>
        <w:pStyle w:val="AppendixCode"/>
      </w:pPr>
      <w:r>
        <w:t xml:space="preserve">  'readxl','readr','dplyr','tidyr','stringr','janitor','purrr','tibble',</w:t>
      </w:r>
    </w:p>
    <w:p>
      <w:pPr>
        <w:pStyle w:val="AppendixCode"/>
      </w:pPr>
      <w:r>
        <w:t xml:space="preserve">  'ggplot2','ggrepel','scales','igraph','tidygraph','ggraph','circlize'</w:t>
      </w:r>
    </w:p>
    <w:p>
      <w:pPr>
        <w:pStyle w:val="AppendixCode"/>
      </w:pPr>
      <w:r>
        <w:t>)</w:t>
      </w:r>
    </w:p>
    <w:p>
      <w:pPr>
        <w:pStyle w:val="AppendixCode"/>
      </w:pPr>
      <w:r>
        <w:t>missing &lt;- required[!vapply(required, requireNamespace, logical(1), quietly = TRUE)]</w:t>
      </w:r>
    </w:p>
    <w:p>
      <w:pPr>
        <w:pStyle w:val="AppendixCode"/>
      </w:pPr>
      <w:r>
        <w:t>if (length(missing) &gt; 0) install.packages(missing)</w:t>
      </w:r>
    </w:p>
    <w:p>
      <w:pPr>
        <w:pStyle w:val="AppendixCodeTitle"/>
      </w:pPr>
      <w:r>
        <w:t>A5.12.2 run_all_chapter5.R</w:t>
      </w:r>
    </w:p>
    <w:p>
      <w:pPr>
        <w:pStyle w:val="AppendixCode"/>
      </w:pPr>
      <w:r>
        <w:t>source('03_scripts/R/00_setup_packages.R')</w:t>
      </w:r>
    </w:p>
    <w:p>
      <w:pPr>
        <w:pStyle w:val="AppendixCode"/>
      </w:pPr>
      <w:r>
        <w:t>source('03_scripts/R/01_figure_5_1_delta_distribution.R')</w:t>
      </w:r>
    </w:p>
    <w:p>
      <w:pPr>
        <w:pStyle w:val="AppendixCode"/>
      </w:pPr>
      <w:r>
        <w:t>source('03_scripts/R/02_figure_5_2_mandate_relational_space.R')</w:t>
      </w:r>
    </w:p>
    <w:p>
      <w:pPr>
        <w:pStyle w:val="AppendixCode"/>
      </w:pPr>
      <w:r>
        <w:t>source('03_scripts/R/02b_figure_5_3_mandate_overlap_chord_edges.R')</w:t>
      </w:r>
    </w:p>
    <w:p>
      <w:pPr>
        <w:pStyle w:val="AppendixCode"/>
      </w:pPr>
      <w:r>
        <w:t>source('03_scripts/R/03_relational_network_tables.R')</w:t>
      </w:r>
    </w:p>
    <w:p>
      <w:pPr>
        <w:pStyle w:val="AppendixCode"/>
      </w:pPr>
      <w:r>
        <w:t>source('03_scripts/R/04_network_visualisation_scaffold.R')</w:t>
      </w:r>
    </w:p>
    <w:p>
      <w:pPr>
        <w:pStyle w:val="AppendixCode"/>
      </w:pPr>
      <w:r>
        <w:t>source('03_scripts/R/05_functional_differentiation_tables.R')</w:t>
      </w:r>
    </w:p>
    <w:p>
      <w:pPr>
        <w:pStyle w:val="AppendixCodeTitle"/>
      </w:pPr>
      <w:r>
        <w:t>A5.12.3 01_figure_5_1_delta_distribution.R</w:t>
      </w:r>
    </w:p>
    <w:p>
      <w:pPr>
        <w:pStyle w:val="AppendixCode"/>
      </w:pPr>
      <w:r>
        <w:t># Reproduce Figure 5.1 from dyadic similarity data</w:t>
      </w:r>
    </w:p>
    <w:p>
      <w:pPr>
        <w:pStyle w:val="AppendixCode"/>
      </w:pPr>
      <w:r>
        <w:t>library(readr); library(dplyr); library(ggplot2)</w:t>
      </w:r>
    </w:p>
    <w:p>
      <w:pPr>
        <w:pStyle w:val="AppendixCode"/>
      </w:pPr>
      <w:r>
        <w:t>d &lt;-</w:t>
      </w:r>
    </w:p>
    <w:p>
      <w:pPr>
        <w:pStyle w:val="AppendixCode"/>
      </w:pPr>
      <w:r>
        <w:t xml:space="preserve">    read_csv('02_processed_outputs/section_5_2_institutional_incongruence/dyadic_mandate_relational_similarity.csv'</w:t>
      </w:r>
    </w:p>
    <w:p>
      <w:pPr>
        <w:pStyle w:val="AppendixCode"/>
      </w:pPr>
      <w:r>
        <w:t xml:space="preserve">    , show_col_types = FALSE) %&gt;% mutate(delta_incongruence = mandate_similarity - relational_similarity)</w:t>
      </w:r>
    </w:p>
    <w:p>
      <w:pPr>
        <w:pStyle w:val="AppendixCode"/>
      </w:pPr>
      <w:r>
        <w:t>lower &lt;- quantile(d$delta_incongruence, 1/3, na.rm = TRUE); upper &lt;- quantile(d$delta_incongruence, 2/3, na.rm =</w:t>
      </w:r>
    </w:p>
    <w:p>
      <w:pPr>
        <w:pStyle w:val="AppendixCode"/>
      </w:pPr>
      <w:r>
        <w:t xml:space="preserve">    TRUE)</w:t>
      </w:r>
    </w:p>
    <w:p>
      <w:pPr>
        <w:pStyle w:val="AppendixCode"/>
      </w:pPr>
      <w:r>
        <w:t>p &lt;- ggplot(d, aes(delta_incongruence)) + geom_histogram(bins = 27, fill = '#D8B365', colour = 'white') +</w:t>
      </w:r>
    </w:p>
    <w:p>
      <w:pPr>
        <w:pStyle w:val="AppendixCode"/>
      </w:pPr>
      <w:r>
        <w:t xml:space="preserve">    geom_vline(xintercept = c(mean(d$delta_incongruence), median(d$delta_incongruence), 0), linetype =</w:t>
      </w:r>
    </w:p>
    <w:p>
      <w:pPr>
        <w:pStyle w:val="AppendixCode"/>
      </w:pPr>
      <w:r>
        <w:t xml:space="preserve">    c('dashed','dashed','dotted')) + labs(x='Delta incongruence', y='Number of dyads') +</w:t>
      </w:r>
    </w:p>
    <w:p>
      <w:pPr>
        <w:pStyle w:val="AppendixCode"/>
      </w:pPr>
      <w:r>
        <w:t xml:space="preserve">    theme_minimal(base_size=12)</w:t>
      </w:r>
    </w:p>
    <w:p>
      <w:pPr>
        <w:pStyle w:val="AppendixCode"/>
      </w:pPr>
      <w:r>
        <w:t>ggsave('04_figures/final/fig_5_1_delta_incongruence_distribution_rebuilt.png', p, width=8.5, height=5.5, dpi=300)</w:t>
      </w:r>
    </w:p>
    <w:p>
      <w:pPr>
        <w:pStyle w:val="AppendixCodeTitle"/>
      </w:pPr>
      <w:r>
        <w:t>A5.12.4 02_figure_5_2_mandate_relational_space.R</w:t>
      </w:r>
    </w:p>
    <w:p>
      <w:pPr>
        <w:pStyle w:val="AppendixCode"/>
      </w:pPr>
      <w:r>
        <w:t># Reproduce Figure 5.2 from dyadic similarity data</w:t>
      </w:r>
    </w:p>
    <w:p>
      <w:pPr>
        <w:pStyle w:val="AppendixCode"/>
      </w:pPr>
      <w:r>
        <w:t>library(readr); library(dplyr); library(ggplot2); library(ggrepel)</w:t>
      </w:r>
    </w:p>
    <w:p>
      <w:pPr>
        <w:pStyle w:val="AppendixCode"/>
      </w:pPr>
      <w:r>
        <w:t>d &lt;-</w:t>
      </w:r>
    </w:p>
    <w:p>
      <w:pPr>
        <w:pStyle w:val="AppendixCode"/>
      </w:pPr>
      <w:r>
        <w:t xml:space="preserve">    read_csv('02_processed_outputs/section_5_2_institutional_incongruence/dyadic_mandate_relational_similarity.csv'</w:t>
      </w:r>
    </w:p>
    <w:p>
      <w:pPr>
        <w:pStyle w:val="AppendixCode"/>
      </w:pPr>
      <w:r>
        <w:t xml:space="preserve">    , show_col_types = FALSE) %&gt;% mutate(delta_incongruence = mandate_similarity - relational_similarity, label =</w:t>
      </w:r>
    </w:p>
    <w:p>
      <w:pPr>
        <w:pStyle w:val="AppendixCode"/>
      </w:pPr>
      <w:r>
        <w:t xml:space="preserve">    paste(IGO_A, IGO_B, sep='-'))</w:t>
      </w:r>
    </w:p>
    <w:p>
      <w:pPr>
        <w:pStyle w:val="AppendixCode"/>
      </w:pPr>
      <w:r>
        <w:t>q90 &lt;- quantile(d$mandate_similarity, .90); q10 &lt;- quantile(d$relational_similarity, .10)</w:t>
      </w:r>
    </w:p>
    <w:p>
      <w:pPr>
        <w:pStyle w:val="AppendixCode"/>
      </w:pPr>
      <w:r>
        <w:t>d &lt;- d %&gt;% mutate(dyad_type = case_when(mandate_similarity &gt;= q90 &amp; relational_similarity &lt;= q10 ~ 'High-</w:t>
      </w:r>
    </w:p>
    <w:p>
      <w:pPr>
        <w:pStyle w:val="AppendixCode"/>
      </w:pPr>
      <w:r>
        <w:t xml:space="preserve">    incongruence dyads', delta_incongruence &gt; 0 ~ 'Positive incongruence', TRUE ~ 'Relationally bridged / near-</w:t>
      </w:r>
    </w:p>
    <w:p>
      <w:pPr>
        <w:pStyle w:val="AppendixCode"/>
      </w:pPr>
      <w:r>
        <w:t xml:space="preserve">    aligned'))</w:t>
      </w:r>
    </w:p>
    <w:p>
      <w:pPr>
        <w:pStyle w:val="AppendixCode"/>
      </w:pPr>
      <w:r>
        <w:t>labels &lt;- d %&gt;% filter(delta_incongruence &gt; 0) %&gt;% arrange(desc(delta_incongruence)) %&gt;% slice_head(n=14)</w:t>
      </w:r>
    </w:p>
    <w:p>
      <w:pPr>
        <w:pStyle w:val="AppendixCode"/>
      </w:pPr>
      <w:r>
        <w:t>p &lt;- ggplot(d, aes(mandate_similarity, relational_similarity, colour=dyad_type)) + geom_abline(slope=1,</w:t>
      </w:r>
    </w:p>
    <w:p>
      <w:pPr>
        <w:pStyle w:val="AppendixCode"/>
      </w:pPr>
      <w:r>
        <w:t xml:space="preserve">    intercept=0, linetype='dashed') + geom_vline(xintercept=q90, linetype='dotted') + geom_hline(yintercept=q10,</w:t>
      </w:r>
    </w:p>
    <w:p>
      <w:pPr>
        <w:pStyle w:val="AppendixCode"/>
      </w:pPr>
      <w:r>
        <w:t xml:space="preserve">    linetype='dotted') + geom_point(alpha=.65) + geom_text_repel(data=labels, aes(label=label), size=3,</w:t>
      </w:r>
    </w:p>
    <w:p>
      <w:pPr>
        <w:pStyle w:val="AppendixCode"/>
      </w:pPr>
      <w:r>
        <w:t xml:space="preserve">    max.overlaps=Inf) + coord_equal(xlim=c(0,1), ylim=c(0,1)) + labs(x='Mandate similarity', y='Relational</w:t>
      </w:r>
    </w:p>
    <w:p>
      <w:pPr>
        <w:pStyle w:val="AppendixCode"/>
      </w:pPr>
      <w:r>
        <w:t xml:space="preserve">    similarity') + theme_minimal(base_size=12)</w:t>
      </w:r>
    </w:p>
    <w:p>
      <w:pPr>
        <w:pStyle w:val="AppendixCode"/>
      </w:pPr>
      <w:r>
        <w:t>ggsave('04_figures/final/fig_5_2_mandate_relational_similarity_space_rebuilt.png', p, width=8.5, height=7, dpi=300)</w:t>
      </w:r>
    </w:p>
    <w:p>
      <w:pPr>
        <w:pStyle w:val="AppendixCodeTitle"/>
      </w:pPr>
      <w:r>
        <w:t>A5.12.5 02b_figure_5_3_mandate_overlap_chord_edges.R</w:t>
      </w:r>
    </w:p>
    <w:p>
      <w:pPr>
        <w:pStyle w:val="AppendixCode"/>
      </w:pPr>
      <w:r>
        <w:t># Figure 5.3: retained mandate-overlap edge list and chord visualisation</w:t>
      </w:r>
    </w:p>
    <w:p>
      <w:pPr>
        <w:pStyle w:val="AppendixCode"/>
      </w:pPr>
      <w:r>
        <w:t># Run from the root of chapter5_data_archive.</w:t>
      </w:r>
    </w:p>
    <w:p>
      <w:pPr>
        <w:pStyle w:val="AppendixCode"/>
      </w:pPr>
      <w:r/>
    </w:p>
    <w:p>
      <w:pPr>
        <w:pStyle w:val="AppendixCode"/>
      </w:pPr>
      <w:r>
        <w:t>library(readr)</w:t>
      </w:r>
    </w:p>
    <w:p>
      <w:pPr>
        <w:pStyle w:val="AppendixCode"/>
      </w:pPr>
      <w:r>
        <w:t>library(dplyr)</w:t>
      </w:r>
    </w:p>
    <w:p>
      <w:pPr>
        <w:pStyle w:val="AppendixCode"/>
      </w:pPr>
      <w:r/>
    </w:p>
    <w:p>
      <w:pPr>
        <w:pStyle w:val="AppendixCode"/>
      </w:pPr>
      <w:r>
        <w:t>source_file &lt;-</w:t>
      </w:r>
    </w:p>
    <w:p>
      <w:pPr>
        <w:pStyle w:val="AppendixCode"/>
      </w:pPr>
      <w:r>
        <w:t xml:space="preserve">    '02_processed_outputs/section_5_2_institutional_incongruence/dyadic_mandate_relational_similarity.csv'</w:t>
      </w:r>
    </w:p>
    <w:p>
      <w:pPr>
        <w:pStyle w:val="AppendixCode"/>
      </w:pPr>
      <w:r>
        <w:t>out_dir &lt;- '02_processed_outputs/section_5_2_institutional_incongruence'</w:t>
      </w:r>
    </w:p>
    <w:p>
      <w:pPr>
        <w:pStyle w:val="AppendixCode"/>
      </w:pPr>
      <w:r>
        <w:t>fig_dir &lt;- '04_figures/final'</w:t>
      </w:r>
    </w:p>
    <w:p>
      <w:pPr>
        <w:pStyle w:val="AppendixCode"/>
      </w:pPr>
      <w:r/>
    </w:p>
    <w:p>
      <w:pPr>
        <w:pStyle w:val="AppendixCode"/>
      </w:pPr>
      <w:r>
        <w:t>dyads &lt;- read_csv(source_file, show_col_types = FALSE)</w:t>
      </w:r>
    </w:p>
    <w:p>
      <w:pPr>
        <w:pStyle w:val="AppendixCode"/>
      </w:pPr>
      <w:r/>
    </w:p>
    <w:p>
      <w:pPr>
        <w:pStyle w:val="AppendixCode"/>
      </w:pPr>
      <w:r>
        <w:t>q90_mandate &lt;- quantile(dyads$mandate_similarity, 0.90, na.rm = TRUE)</w:t>
      </w:r>
    </w:p>
    <w:p>
      <w:pPr>
        <w:pStyle w:val="AppendixCode"/>
      </w:pPr>
      <w:r/>
    </w:p>
    <w:p>
      <w:pPr>
        <w:pStyle w:val="AppendixCode"/>
      </w:pPr>
      <w:r>
        <w:t>retained_edges &lt;- dyads %&gt;%</w:t>
      </w:r>
    </w:p>
    <w:p>
      <w:pPr>
        <w:pStyle w:val="AppendixCode"/>
      </w:pPr>
      <w:r>
        <w:t xml:space="preserve">  filter(mandate_similarity &gt;= q90_mandate) %&gt;%</w:t>
      </w:r>
    </w:p>
    <w:p>
      <w:pPr>
        <w:pStyle w:val="AppendixCode"/>
      </w:pPr>
      <w:r>
        <w:t xml:space="preserve">  arrange(desc(mandate_similarity), IGO_A, IGO_B) %&gt;%</w:t>
      </w:r>
    </w:p>
    <w:p>
      <w:pPr>
        <w:pStyle w:val="AppendixCode"/>
      </w:pPr>
      <w:r>
        <w:t xml:space="preserve">  mutate(</w:t>
      </w:r>
    </w:p>
    <w:p>
      <w:pPr>
        <w:pStyle w:val="AppendixCode"/>
      </w:pPr>
      <w:r>
        <w:t xml:space="preserve">    edge_rank_by_mandate_similarity = row_number(),</w:t>
      </w:r>
    </w:p>
    <w:p>
      <w:pPr>
        <w:pStyle w:val="AppendixCode"/>
      </w:pPr>
      <w:r>
        <w:t xml:space="preserve">    q90_mandate_threshold = as.numeric(q90_mandate),</w:t>
      </w:r>
    </w:p>
    <w:p>
      <w:pPr>
        <w:pStyle w:val="AppendixCode"/>
      </w:pPr>
      <w:r>
        <w:t xml:space="preserve">    retention_rule = 'mandate_similarity &gt;= q90(mandate_similarity)',</w:t>
      </w:r>
    </w:p>
    <w:p>
      <w:pPr>
        <w:pStyle w:val="AppendixCode"/>
      </w:pPr>
      <w:r>
        <w:t xml:space="preserve">    edge_weight_for_chord = mandate_similarity</w:t>
      </w:r>
    </w:p>
    <w:p>
      <w:pPr>
        <w:pStyle w:val="AppendixCode"/>
      </w:pPr>
      <w:r>
        <w:t xml:space="preserve">  ) %&gt;%</w:t>
      </w:r>
    </w:p>
    <w:p>
      <w:pPr>
        <w:pStyle w:val="AppendixCode"/>
      </w:pPr>
      <w:r>
        <w:t xml:space="preserve">  select(</w:t>
      </w:r>
    </w:p>
    <w:p>
      <w:pPr>
        <w:pStyle w:val="AppendixCode"/>
      </w:pPr>
      <w:r>
        <w:t xml:space="preserve">    edge_rank_by_mandate_similarity,</w:t>
      </w:r>
    </w:p>
    <w:p>
      <w:pPr>
        <w:pStyle w:val="AppendixCode"/>
      </w:pPr>
      <w:r>
        <w:t xml:space="preserve">    IGO_A, IGO_B,</w:t>
      </w:r>
    </w:p>
    <w:p>
      <w:pPr>
        <w:pStyle w:val="AppendixCode"/>
      </w:pPr>
      <w:r>
        <w:t xml:space="preserve">    mandate_similarity, relational_similarity, delta_incongruence,</w:t>
      </w:r>
    </w:p>
    <w:p>
      <w:pPr>
        <w:pStyle w:val="AppendixCode"/>
      </w:pPr>
      <w:r>
        <w:t xml:space="preserve">    positive_incongruence, high_incongruence,</w:t>
      </w:r>
    </w:p>
    <w:p>
      <w:pPr>
        <w:pStyle w:val="AppendixCode"/>
      </w:pPr>
      <w:r>
        <w:t xml:space="preserve">    q90_mandate_threshold, retention_rule, edge_weight_for_chord</w:t>
      </w:r>
    </w:p>
    <w:p>
      <w:pPr>
        <w:pStyle w:val="AppendixCode"/>
      </w:pPr>
      <w:r>
        <w:t xml:space="preserve">  )</w:t>
      </w:r>
    </w:p>
    <w:p>
      <w:pPr>
        <w:pStyle w:val="AppendixCode"/>
      </w:pPr>
      <w:r/>
    </w:p>
    <w:p>
      <w:pPr>
        <w:pStyle w:val="AppendixCode"/>
      </w:pPr>
      <w:r>
        <w:t>write_csv(retained_edges, file.path(out_dir, 'figure_5_3_retained_mandate_overlap_edges.csv'))</w:t>
      </w:r>
    </w:p>
    <w:p>
      <w:pPr>
        <w:pStyle w:val="AppendixCode"/>
      </w:pPr>
      <w:r/>
    </w:p>
    <w:p>
      <w:pPr>
        <w:pStyle w:val="AppendixCode"/>
      </w:pPr>
      <w:r>
        <w:t>node_summary &lt;- retained_edges %&gt;%</w:t>
      </w:r>
    </w:p>
    <w:p>
      <w:pPr>
        <w:pStyle w:val="AppendixCode"/>
      </w:pPr>
      <w:r>
        <w:t xml:space="preserve">  select(IGO_A, IGO_B, mandate_similarity) %&gt;%</w:t>
      </w:r>
    </w:p>
    <w:p>
      <w:pPr>
        <w:pStyle w:val="AppendixCode"/>
      </w:pPr>
      <w:r>
        <w:t xml:space="preserve">  tidyr::pivot_longer(c(IGO_A, IGO_B), names_to = 'endpoint', values_to = 'organisation') %&gt;%</w:t>
      </w:r>
    </w:p>
    <w:p>
      <w:pPr>
        <w:pStyle w:val="AppendixCode"/>
      </w:pPr>
      <w:r>
        <w:t xml:space="preserve">  group_by(organisation) %&gt;%</w:t>
      </w:r>
    </w:p>
    <w:p>
      <w:pPr>
        <w:pStyle w:val="AppendixCode"/>
      </w:pPr>
      <w:r>
        <w:t xml:space="preserve">  summarise(</w:t>
      </w:r>
    </w:p>
    <w:p>
      <w:pPr>
        <w:pStyle w:val="AppendixCode"/>
      </w:pPr>
      <w:r>
        <w:t xml:space="preserve">    retained_overlap_degree = n(),</w:t>
      </w:r>
    </w:p>
    <w:p>
      <w:pPr>
        <w:pStyle w:val="AppendixCode"/>
      </w:pPr>
      <w:r>
        <w:t xml:space="preserve">    retained_overlap_strength = sum(mandate_similarity, na.rm = TRUE),</w:t>
      </w:r>
    </w:p>
    <w:p>
      <w:pPr>
        <w:pStyle w:val="AppendixCode"/>
      </w:pPr>
      <w:r>
        <w:t xml:space="preserve">    max_retained_mandate_similarity = max(mandate_similarity, na.rm = TRUE),</w:t>
      </w:r>
    </w:p>
    <w:p>
      <w:pPr>
        <w:pStyle w:val="AppendixCode"/>
      </w:pPr>
      <w:r>
        <w:t xml:space="preserve">    .groups = 'drop'</w:t>
      </w:r>
    </w:p>
    <w:p>
      <w:pPr>
        <w:pStyle w:val="AppendixCode"/>
      </w:pPr>
      <w:r>
        <w:t xml:space="preserve">  ) %&gt;%</w:t>
      </w:r>
    </w:p>
    <w:p>
      <w:pPr>
        <w:pStyle w:val="AppendixCode"/>
      </w:pPr>
      <w:r>
        <w:t xml:space="preserve">  arrange(desc(retained_overlap_degree), desc(retained_overlap_strength), organisation)</w:t>
      </w:r>
    </w:p>
    <w:p>
      <w:pPr>
        <w:pStyle w:val="AppendixCode"/>
      </w:pPr>
      <w:r/>
    </w:p>
    <w:p>
      <w:pPr>
        <w:pStyle w:val="AppendixCode"/>
      </w:pPr>
      <w:r>
        <w:t>write_csv(node_summary, file.path(out_dir, 'figure_5_3_retained_mandate_overlap_node_summary.csv'))</w:t>
      </w:r>
    </w:p>
    <w:p>
      <w:pPr>
        <w:pStyle w:val="AppendixCode"/>
      </w:pPr>
      <w:r/>
    </w:p>
    <w:p>
      <w:pPr>
        <w:pStyle w:val="AppendixCode"/>
      </w:pPr>
      <w:r>
        <w:t># Optional chord rendering. This requires the circlize package.</w:t>
      </w:r>
    </w:p>
    <w:p>
      <w:pPr>
        <w:pStyle w:val="AppendixCode"/>
      </w:pPr>
      <w:r>
        <w:t># If circlize is not installed, the script still writes the retained edge and node-summary CSVs.</w:t>
      </w:r>
    </w:p>
    <w:p>
      <w:pPr>
        <w:pStyle w:val="AppendixCode"/>
      </w:pPr>
      <w:r>
        <w:t>if (requireNamespace('circlize', quietly = TRUE)) {</w:t>
      </w:r>
    </w:p>
    <w:p>
      <w:pPr>
        <w:pStyle w:val="AppendixCode"/>
      </w:pPr>
      <w:r>
        <w:t xml:space="preserve">  chord_mat &lt;- retained_edges %&gt;%</w:t>
      </w:r>
    </w:p>
    <w:p>
      <w:pPr>
        <w:pStyle w:val="AppendixCode"/>
      </w:pPr>
      <w:r>
        <w:t xml:space="preserve">    select(IGO_A, IGO_B, edge_weight_for_chord)</w:t>
      </w:r>
    </w:p>
    <w:p>
      <w:pPr>
        <w:pStyle w:val="AppendixCode"/>
      </w:pPr>
      <w:r/>
    </w:p>
    <w:p>
      <w:pPr>
        <w:pStyle w:val="AppendixCode"/>
      </w:pPr>
      <w:r>
        <w:t xml:space="preserve">  png(file.path(fig_dir, 'fig_5_3_strongest_mandate_overlap_ties_rebuilt.png'),</w:t>
      </w:r>
    </w:p>
    <w:p>
      <w:pPr>
        <w:pStyle w:val="AppendixCode"/>
      </w:pPr>
      <w:r>
        <w:t xml:space="preserve">      width = 2400, height = 2400, res = 300)</w:t>
      </w:r>
    </w:p>
    <w:p>
      <w:pPr>
        <w:pStyle w:val="AppendixCode"/>
      </w:pPr>
      <w:r>
        <w:t xml:space="preserve">  circlize::circos.clear()</w:t>
      </w:r>
    </w:p>
    <w:p>
      <w:pPr>
        <w:pStyle w:val="AppendixCode"/>
      </w:pPr>
      <w:r>
        <w:t xml:space="preserve">  circlize::chordDiagram(</w:t>
      </w:r>
    </w:p>
    <w:p>
      <w:pPr>
        <w:pStyle w:val="AppendixCode"/>
      </w:pPr>
      <w:r>
        <w:t xml:space="preserve">    x = chord_mat,</w:t>
      </w:r>
    </w:p>
    <w:p>
      <w:pPr>
        <w:pStyle w:val="AppendixCode"/>
      </w:pPr>
      <w:r>
        <w:t xml:space="preserve">    transparency = 0.45,</w:t>
      </w:r>
    </w:p>
    <w:p>
      <w:pPr>
        <w:pStyle w:val="AppendixCode"/>
      </w:pPr>
      <w:r>
        <w:t xml:space="preserve">    annotationTrack = c('grid'),</w:t>
      </w:r>
    </w:p>
    <w:p>
      <w:pPr>
        <w:pStyle w:val="AppendixCode"/>
      </w:pPr>
      <w:r>
        <w:t xml:space="preserve">    preAllocateTracks = 1</w:t>
      </w:r>
    </w:p>
    <w:p>
      <w:pPr>
        <w:pStyle w:val="AppendixCode"/>
      </w:pPr>
      <w:r>
        <w:t xml:space="preserve">  )</w:t>
      </w:r>
    </w:p>
    <w:p>
      <w:pPr>
        <w:pStyle w:val="AppendixCode"/>
      </w:pPr>
      <w:r>
        <w:t xml:space="preserve">  circlize::circos.trackPlotRegion(</w:t>
      </w:r>
    </w:p>
    <w:p>
      <w:pPr>
        <w:pStyle w:val="AppendixCode"/>
      </w:pPr>
      <w:r>
        <w:t xml:space="preserve">    track.index = 1,</w:t>
      </w:r>
    </w:p>
    <w:p>
      <w:pPr>
        <w:pStyle w:val="AppendixCode"/>
      </w:pPr>
      <w:r>
        <w:t xml:space="preserve">    panel.fun = function(x, y) {</w:t>
      </w:r>
    </w:p>
    <w:p>
      <w:pPr>
        <w:pStyle w:val="AppendixCode"/>
      </w:pPr>
      <w:r>
        <w:t xml:space="preserve">      sector_name &lt;- circlize::get.cell.meta.data('sector.index')</w:t>
      </w:r>
    </w:p>
    <w:p>
      <w:pPr>
        <w:pStyle w:val="AppendixCode"/>
      </w:pPr>
      <w:r>
        <w:t xml:space="preserve">      xlim &lt;- circlize::get.cell.meta.data('xlim')</w:t>
      </w:r>
    </w:p>
    <w:p>
      <w:pPr>
        <w:pStyle w:val="AppendixCode"/>
      </w:pPr>
      <w:r>
        <w:t xml:space="preserve">      ylim &lt;- circlize::get.cell.meta.data('ylim')</w:t>
      </w:r>
    </w:p>
    <w:p>
      <w:pPr>
        <w:pStyle w:val="AppendixCode"/>
      </w:pPr>
      <w:r>
        <w:t xml:space="preserve">      circlize::circos.text(mean(xlim), ylim[1], sector_name,</w:t>
      </w:r>
    </w:p>
    <w:p>
      <w:pPr>
        <w:pStyle w:val="AppendixCode"/>
      </w:pPr>
      <w:r>
        <w:t xml:space="preserve">                            facing = 'clockwise', niceFacing = TRUE,</w:t>
      </w:r>
    </w:p>
    <w:p>
      <w:pPr>
        <w:pStyle w:val="AppendixCode"/>
      </w:pPr>
      <w:r>
        <w:t xml:space="preserve">                            adj = c(0, 0.5), cex = 0.45)</w:t>
      </w:r>
    </w:p>
    <w:p>
      <w:pPr>
        <w:pStyle w:val="AppendixCode"/>
      </w:pPr>
      <w:r>
        <w:t xml:space="preserve">    },</w:t>
      </w:r>
    </w:p>
    <w:p>
      <w:pPr>
        <w:pStyle w:val="AppendixCode"/>
      </w:pPr>
      <w:r>
        <w:t xml:space="preserve">    bg.border = NA</w:t>
      </w:r>
    </w:p>
    <w:p>
      <w:pPr>
        <w:pStyle w:val="AppendixCode"/>
      </w:pPr>
      <w:r>
        <w:t xml:space="preserve">  )</w:t>
      </w:r>
    </w:p>
    <w:p>
      <w:pPr>
        <w:pStyle w:val="AppendixCode"/>
      </w:pPr>
      <w:r>
        <w:t xml:space="preserve">  circlize::circos.clear()</w:t>
      </w:r>
    </w:p>
    <w:p>
      <w:pPr>
        <w:pStyle w:val="AppendixCode"/>
      </w:pPr>
      <w:r>
        <w:t xml:space="preserve">  dev.off()</w:t>
      </w:r>
    </w:p>
    <w:p>
      <w:pPr>
        <w:pStyle w:val="AppendixCode"/>
      </w:pPr>
      <w:r>
        <w:t>}</w:t>
      </w:r>
    </w:p>
    <w:p>
      <w:pPr>
        <w:pStyle w:val="AppendixCodeTitle"/>
      </w:pPr>
      <w:r>
        <w:t>A5.12.6 03_relational_network_tables.R</w:t>
      </w:r>
    </w:p>
    <w:p>
      <w:pPr>
        <w:pStyle w:val="AppendixCode"/>
      </w:pPr>
      <w:r>
        <w:t># Recreate q90 relational network and centrality tables</w:t>
      </w:r>
    </w:p>
    <w:p>
      <w:pPr>
        <w:pStyle w:val="AppendixCode"/>
      </w:pPr>
      <w:r>
        <w:t>library(readr); library(dplyr); library(igraph); library(tibble)</w:t>
      </w:r>
    </w:p>
    <w:p>
      <w:pPr>
        <w:pStyle w:val="AppendixCode"/>
      </w:pPr>
      <w:r>
        <w:t>d &lt;-</w:t>
      </w:r>
    </w:p>
    <w:p>
      <w:pPr>
        <w:pStyle w:val="AppendixCode"/>
      </w:pPr>
      <w:r>
        <w:t xml:space="preserve">    read_csv('02_processed_outputs/section_5_2_institutional_incongruence/dyadic_mandate_relational_similarity.csv'</w:t>
      </w:r>
    </w:p>
    <w:p>
      <w:pPr>
        <w:pStyle w:val="AppendixCode"/>
      </w:pPr>
      <w:r>
        <w:t xml:space="preserve">    , show_col_types = FALSE)</w:t>
      </w:r>
    </w:p>
    <w:p>
      <w:pPr>
        <w:pStyle w:val="AppendixCode"/>
      </w:pPr>
      <w:r>
        <w:t>q90 &lt;- quantile(d$relational_similarity, .90, na.rm=TRUE)</w:t>
      </w:r>
    </w:p>
    <w:p>
      <w:pPr>
        <w:pStyle w:val="AppendixCode"/>
      </w:pPr>
      <w:r>
        <w:t>edges &lt;- d %&gt;% filter(relational_similarity &gt;= q90)</w:t>
      </w:r>
    </w:p>
    <w:p>
      <w:pPr>
        <w:pStyle w:val="AppendixCode"/>
      </w:pPr>
      <w:r>
        <w:t>vertices &lt;- tibble(name = sort(unique(c(d$IGO_A, d$IGO_B))))</w:t>
      </w:r>
    </w:p>
    <w:p>
      <w:pPr>
        <w:pStyle w:val="AppendixCode"/>
      </w:pPr>
      <w:r>
        <w:t>g &lt;- graph_from_data_frame(edges %&gt;% transmute(from=IGO_A, to=IGO_B, weight=relational_similarity), directed=FALSE,</w:t>
      </w:r>
    </w:p>
    <w:p>
      <w:pPr>
        <w:pStyle w:val="AppendixCode"/>
      </w:pPr>
      <w:r>
        <w:t xml:space="preserve">    vertices=vertices)</w:t>
      </w:r>
    </w:p>
    <w:p>
      <w:pPr>
        <w:pStyle w:val="AppendixCode"/>
      </w:pPr>
      <w:r>
        <w:t>E(g)$distance &lt;- 1 - E(g)$weight</w:t>
      </w:r>
    </w:p>
    <w:p>
      <w:pPr>
        <w:pStyle w:val="AppendixCode"/>
      </w:pPr>
      <w:r>
        <w:t>metrics &lt;- tibble(organisation=V(g)$name, degree=degree(g), strength=strength(g, weights=E(g)$weight),</w:t>
      </w:r>
    </w:p>
    <w:p>
      <w:pPr>
        <w:pStyle w:val="AppendixCode"/>
      </w:pPr>
      <w:r>
        <w:t xml:space="preserve">    betweenness=betweenness(g, weights=E(g)$distance, normalized=TRUE), eigenvector_centrality=eigen_centrality(g,</w:t>
      </w:r>
    </w:p>
    <w:p>
      <w:pPr>
        <w:pStyle w:val="AppendixCode"/>
      </w:pPr>
      <w:r>
        <w:t xml:space="preserve">    weights=E(g)$weight)$vector)</w:t>
      </w:r>
    </w:p>
    <w:p>
      <w:pPr>
        <w:pStyle w:val="AppendixCode"/>
      </w:pPr>
      <w:r>
        <w:t>metrics$eigenvector_centrality &lt;- metrics$eigenvector_centrality / max(metrics$eigenvector_centrality, na.rm=TRUE)</w:t>
      </w:r>
    </w:p>
    <w:p>
      <w:pPr>
        <w:pStyle w:val="AppendixCode"/>
      </w:pPr>
      <w:r>
        <w:t>write_csv(edges,</w:t>
      </w:r>
    </w:p>
    <w:p>
      <w:pPr>
        <w:pStyle w:val="AppendixCode"/>
      </w:pPr>
      <w:r>
        <w:t xml:space="preserve">    '02_processed_outputs/section_5_3_relational_coordination/relational_network_edges_q90_rebuilt.csv')</w:t>
      </w:r>
    </w:p>
    <w:p>
      <w:pPr>
        <w:pStyle w:val="AppendixCode"/>
      </w:pPr>
      <w:r>
        <w:t>write_csv(metrics,</w:t>
      </w:r>
    </w:p>
    <w:p>
      <w:pPr>
        <w:pStyle w:val="AppendixCode"/>
      </w:pPr>
      <w:r>
        <w:t xml:space="preserve">    '02_processed_outputs/section_5_3_relational_coordination/relational_network_node_metrics_q90_rebuilt.csv')</w:t>
      </w:r>
    </w:p>
    <w:p>
      <w:pPr>
        <w:pStyle w:val="AppendixCodeTitle"/>
      </w:pPr>
      <w:r>
        <w:t>A5.12.7 04_network_visualisation_scaffold.R</w:t>
      </w:r>
    </w:p>
    <w:p>
      <w:pPr>
        <w:pStyle w:val="AppendixCode"/>
      </w:pPr>
      <w:r>
        <w:t># Simple scaffold for network visualisation from archived node/edge outputs</w:t>
      </w:r>
    </w:p>
    <w:p>
      <w:pPr>
        <w:pStyle w:val="AppendixCode"/>
      </w:pPr>
      <w:r>
        <w:t>library(readr); library(dplyr); library(igraph); library(ggraph); library(ggplot2)</w:t>
      </w:r>
    </w:p>
    <w:p>
      <w:pPr>
        <w:pStyle w:val="AppendixCode"/>
      </w:pPr>
      <w:r>
        <w:t>edges &lt;- read_csv('02_processed_outputs/section_5_3_relational_coordination/relational_network_edges_q90.csv',</w:t>
      </w:r>
    </w:p>
    <w:p>
      <w:pPr>
        <w:pStyle w:val="AppendixCode"/>
      </w:pPr>
      <w:r>
        <w:t xml:space="preserve">    show_col_types=FALSE) %&gt;% transmute(from=IGO_A, to=IGO_B, weight=relational_similarity)</w:t>
      </w:r>
    </w:p>
    <w:p>
      <w:pPr>
        <w:pStyle w:val="AppendixCode"/>
      </w:pPr>
      <w:r>
        <w:t>nodes &lt;-</w:t>
      </w:r>
    </w:p>
    <w:p>
      <w:pPr>
        <w:pStyle w:val="AppendixCode"/>
      </w:pPr>
      <w:r>
        <w:t xml:space="preserve">    read_csv('02_processed_outputs/section_5_3_relational_coordination/relational_network_node_metrics_q90.csv',</w:t>
      </w:r>
    </w:p>
    <w:p>
      <w:pPr>
        <w:pStyle w:val="AppendixCode"/>
      </w:pPr>
      <w:r>
        <w:t xml:space="preserve">    show_col_types=FALSE) %&gt;% rename(name=organisation)</w:t>
      </w:r>
    </w:p>
    <w:p>
      <w:pPr>
        <w:pStyle w:val="AppendixCode"/>
      </w:pPr>
      <w:r>
        <w:t>g &lt;- graph_from_data_frame(edges, directed=FALSE, vertices=nodes)</w:t>
      </w:r>
    </w:p>
    <w:p>
      <w:pPr>
        <w:pStyle w:val="AppendixCode"/>
      </w:pPr>
      <w:r>
        <w:t>p &lt;- ggraph(g, layout='fr') + geom_edge_link(aes(width=weight), colour='grey75', alpha=.5) +</w:t>
      </w:r>
    </w:p>
    <w:p>
      <w:pPr>
        <w:pStyle w:val="AppendixCode"/>
      </w:pPr>
      <w:r>
        <w:t xml:space="preserve">    geom_node_point(aes(size=eigenvector_centrality, colour=relational_position)) + geom_node_text(aes(label=name),</w:t>
      </w:r>
    </w:p>
    <w:p>
      <w:pPr>
        <w:pStyle w:val="AppendixCode"/>
      </w:pPr>
      <w:r>
        <w:t xml:space="preserve">    repel=TRUE, size=3) + theme_void()</w:t>
      </w:r>
    </w:p>
    <w:p>
      <w:pPr>
        <w:pStyle w:val="AppendixCode"/>
      </w:pPr>
      <w:r>
        <w:t>ggsave('04_figures/final/fig_5_7_network_rebuilt_scaffold.png', p, width=11, height=8, dpi=300)</w:t>
      </w:r>
    </w:p>
    <w:p>
      <w:pPr>
        <w:pStyle w:val="AppendixCodeTitle"/>
      </w:pPr>
      <w:r>
        <w:t>A5.12.8 05_functional_differentiation_tables.R</w:t>
      </w:r>
    </w:p>
    <w:p>
      <w:pPr>
        <w:pStyle w:val="AppendixCode"/>
      </w:pPr>
      <w:r>
        <w:t># Section 5.4: functional differentiation score exports</w:t>
      </w:r>
    </w:p>
    <w:p>
      <w:pPr>
        <w:pStyle w:val="AppendixCode"/>
      </w:pPr>
      <w:r>
        <w:t># Run from the root of chapter5_data_archive.</w:t>
      </w:r>
    </w:p>
    <w:p>
      <w:pPr>
        <w:pStyle w:val="AppendixCode"/>
      </w:pPr>
      <w:r/>
    </w:p>
    <w:p>
      <w:pPr>
        <w:pStyle w:val="AppendixCode"/>
      </w:pPr>
      <w:r>
        <w:t>library(readr)</w:t>
      </w:r>
    </w:p>
    <w:p>
      <w:pPr>
        <w:pStyle w:val="AppendixCode"/>
      </w:pPr>
      <w:r>
        <w:t>library(dplyr)</w:t>
      </w:r>
    </w:p>
    <w:p>
      <w:pPr>
        <w:pStyle w:val="AppendixCode"/>
      </w:pPr>
      <w:r/>
    </w:p>
    <w:p>
      <w:pPr>
        <w:pStyle w:val="AppendixCode"/>
      </w:pPr>
      <w:r>
        <w:t>base &lt;- '02_processed_outputs/section_5_4_functional_differentiation'</w:t>
      </w:r>
    </w:p>
    <w:p>
      <w:pPr>
        <w:pStyle w:val="AppendixCode"/>
      </w:pPr>
      <w:r/>
    </w:p>
    <w:p>
      <w:pPr>
        <w:pStyle w:val="AppendixCode"/>
      </w:pPr>
      <w:r>
        <w:t># Full exports generated for final deposit</w:t>
      </w:r>
    </w:p>
    <w:p>
      <w:pPr>
        <w:pStyle w:val="AppendixCode"/>
      </w:pPr>
      <w:r>
        <w:t>reg_delivery &lt;- read_csv(file.path(base, 'regulatory_delivery_scores_all_48_igos.csv'), show_col_types = FALSE)</w:t>
      </w:r>
    </w:p>
    <w:p>
      <w:pPr>
        <w:pStyle w:val="AppendixCode"/>
      </w:pPr>
      <w:r>
        <w:t>functional_alignment &lt;- read_csv(file.path(base, 'functional_alignment_scores_all_48_igos.csv'), show_col_types =</w:t>
      </w:r>
    </w:p>
    <w:p>
      <w:pPr>
        <w:pStyle w:val="AppendixCode"/>
      </w:pPr>
      <w:r>
        <w:t xml:space="preserve">    FALSE)</w:t>
      </w:r>
    </w:p>
    <w:p>
      <w:pPr>
        <w:pStyle w:val="AppendixCode"/>
      </w:pPr>
      <w:r>
        <w:t>functional_classes &lt;- read_csv(file.path(base, 'functional_orientation_classes_all_48_igos.csv'), show_col_types =</w:t>
      </w:r>
    </w:p>
    <w:p>
      <w:pPr>
        <w:pStyle w:val="AppendixCode"/>
      </w:pPr>
      <w:r>
        <w:t xml:space="preserve">    FALSE)</w:t>
      </w:r>
    </w:p>
    <w:p>
      <w:pPr>
        <w:pStyle w:val="AppendixCode"/>
      </w:pPr>
      <w:r>
        <w:t>class_counts &lt;- read_csv(file.path(base, 'functional_orientation_class_counts_all_48_igos.csv'), show_col_types =</w:t>
      </w:r>
    </w:p>
    <w:p>
      <w:pPr>
        <w:pStyle w:val="AppendixCode"/>
      </w:pPr>
      <w:r>
        <w:t xml:space="preserve">    FALSE)</w:t>
      </w:r>
    </w:p>
    <w:p>
      <w:pPr>
        <w:pStyle w:val="AppendixCode"/>
      </w:pPr>
      <w:r/>
    </w:p>
    <w:p>
      <w:pPr>
        <w:pStyle w:val="AppendixCode"/>
      </w:pPr>
      <w:r>
        <w:t># Quick verification checks</w:t>
      </w:r>
    </w:p>
    <w:p>
      <w:pPr>
        <w:pStyle w:val="AppendixCode"/>
      </w:pPr>
      <w:r>
        <w:t>stopifnot(nrow(reg_delivery) == 48)</w:t>
      </w:r>
    </w:p>
    <w:p>
      <w:pPr>
        <w:pStyle w:val="AppendixCode"/>
      </w:pPr>
      <w:r>
        <w:t>stopifnot(nrow(functional_alignment) == 48)</w:t>
      </w:r>
    </w:p>
    <w:p>
      <w:pPr>
        <w:pStyle w:val="AppendixCode"/>
      </w:pPr>
      <w:r>
        <w:t>stopifnot(nrow(functional_classes) == 48)</w:t>
      </w:r>
    </w:p>
    <w:p>
      <w:pPr>
        <w:pStyle w:val="AppendixCode"/>
      </w:pPr>
      <w:r>
        <w:t>stopifnot(sum(class_counts$number_of_igos) == 48)</w:t>
      </w:r>
    </w:p>
    <w:p>
      <w:pPr>
        <w:pStyle w:val="AppendixCode"/>
      </w:pPr>
      <w:r/>
    </w:p>
    <w:p>
      <w:pPr>
        <w:pStyle w:val="AppendixCode"/>
      </w:pPr>
      <w:r>
        <w:t># Figure-specific data, using the corrected Chapter 5 figure order:</w:t>
      </w:r>
    </w:p>
    <w:p>
      <w:pPr>
        <w:pStyle w:val="AppendixCode"/>
      </w:pPr>
      <w:r>
        <w:t># Figure 5.10 = regulatory-delivery scatterplot</w:t>
      </w:r>
    </w:p>
    <w:p>
      <w:pPr>
        <w:pStyle w:val="AppendixCode"/>
      </w:pPr>
      <w:r>
        <w:t># Figure 5.11 = functional-orientation sunburst / hierarchy</w:t>
      </w:r>
    </w:p>
    <w:p>
      <w:pPr>
        <w:pStyle w:val="AppendixCode"/>
      </w:pPr>
      <w:r>
        <w:t># Figure 5.12 = ranked functional-alignment distribution</w:t>
      </w:r>
    </w:p>
    <w:p>
      <w:pPr>
        <w:pStyle w:val="AppendixCode"/>
      </w:pPr>
      <w:r>
        <w:t>fig_5_10 &lt;- read_csv(file.path(base, 'figure_5_10_regulatory_delivery_plot_data_all_48_igos.csv'), show_col_types =</w:t>
      </w:r>
    </w:p>
    <w:p>
      <w:pPr>
        <w:pStyle w:val="AppendixCode"/>
      </w:pPr>
      <w:r>
        <w:t xml:space="preserve">    FALSE)</w:t>
      </w:r>
    </w:p>
    <w:p>
      <w:pPr>
        <w:pStyle w:val="AppendixCode"/>
      </w:pPr>
      <w:r>
        <w:t>fig_5_11 &lt;- read_csv(file.path(base, 'figure_5_11_functional_orientation_sunburst_data_all_48_igos.csv'),</w:t>
      </w:r>
    </w:p>
    <w:p>
      <w:pPr>
        <w:pStyle w:val="AppendixCode"/>
      </w:pPr>
      <w:r>
        <w:t xml:space="preserve">    show_col_types = FALSE)</w:t>
      </w:r>
    </w:p>
    <w:p>
      <w:pPr>
        <w:pStyle w:val="AppendixCode"/>
      </w:pPr>
      <w:r>
        <w:t>fig_5_12 &lt;- read_csv(file.path(base, 'figure_5_12_functional_alignment_plot_data_all_48_igos.csv'), show_col_types</w:t>
      </w:r>
    </w:p>
    <w:p>
      <w:pPr>
        <w:pStyle w:val="AppendixCode"/>
      </w:pPr>
      <w:r>
        <w:t xml:space="preserve">    = FALSE)</w:t>
      </w:r>
    </w:p>
    <w:p>
      <w:pPr>
        <w:pStyle w:val="AppendixCode"/>
      </w:pPr>
      <w:r/>
    </w:p>
    <w:p>
      <w:pPr>
        <w:pStyle w:val="AppendixCode"/>
      </w:pPr>
      <w:r>
        <w:t># Selected table outputs used in the Chapter 5 prose</w:t>
      </w:r>
    </w:p>
    <w:p>
      <w:pPr>
        <w:pStyle w:val="AppendixCode"/>
      </w:pPr>
      <w:r>
        <w:t>table_5_10 &lt;- read_csv(file.path(base, 'table_5_10_selected_regulatory_delivery_gap_results.csv'), show_col_types =</w:t>
      </w:r>
    </w:p>
    <w:p>
      <w:pPr>
        <w:pStyle w:val="AppendixCode"/>
      </w:pPr>
      <w:r>
        <w:t xml:space="preserve">    FALSE)</w:t>
      </w:r>
    </w:p>
    <w:p>
      <w:pPr>
        <w:pStyle w:val="AppendixCode"/>
      </w:pPr>
      <w:r>
        <w:t>table_5_11 &lt;- read_csv(file.path(base, 'table_5_11_functional_orientation_classes.csv'), show_col_types = FALSE)</w:t>
      </w:r>
    </w:p>
    <w:p>
      <w:pPr>
        <w:pStyle w:val="AppendixCode"/>
      </w:pPr>
      <w:r>
        <w:t>table_5_12 &lt;- read_csv(file.path(base, 'table_5_12_selected_functional_alignment_scores.csv'), show_col_types =</w:t>
      </w:r>
    </w:p>
    <w:p>
      <w:pPr>
        <w:pStyle w:val="AppendixCode"/>
      </w:pPr>
      <w:r>
        <w:t xml:space="preserve">    FALSE)</w:t>
      </w:r>
    </w:p>
    <w:p>
      <w:pPr>
        <w:pStyle w:val="AppendixCode"/>
      </w:pPr>
      <w:r/>
    </w:p>
    <w:p>
      <w:pPr>
        <w:pStyle w:val="AppendixCode"/>
      </w:pPr>
      <w:r>
        <w:t>list(</w:t>
      </w:r>
    </w:p>
    <w:p>
      <w:pPr>
        <w:pStyle w:val="AppendixCode"/>
      </w:pPr>
      <w:r>
        <w:t xml:space="preserve">  regulatory_delivery = reg_delivery,</w:t>
      </w:r>
    </w:p>
    <w:p>
      <w:pPr>
        <w:pStyle w:val="AppendixCode"/>
      </w:pPr>
      <w:r>
        <w:t xml:space="preserve">  functional_alignment = functional_alignment,</w:t>
      </w:r>
    </w:p>
    <w:p>
      <w:pPr>
        <w:pStyle w:val="AppendixCode"/>
      </w:pPr>
      <w:r>
        <w:t xml:space="preserve">  functional_classes = functional_classes,</w:t>
      </w:r>
    </w:p>
    <w:p>
      <w:pPr>
        <w:pStyle w:val="AppendixCode"/>
      </w:pPr>
      <w:r>
        <w:t xml:space="preserve">  class_counts = class_counts,</w:t>
      </w:r>
    </w:p>
    <w:p>
      <w:pPr>
        <w:pStyle w:val="AppendixCode"/>
      </w:pPr>
      <w:r>
        <w:t xml:space="preserve">  fig_5_10 = fig_5_10,</w:t>
      </w:r>
    </w:p>
    <w:p>
      <w:pPr>
        <w:pStyle w:val="AppendixCode"/>
      </w:pPr>
      <w:r>
        <w:t xml:space="preserve">  fig_5_11_sunburst = fig_5_11,</w:t>
      </w:r>
    </w:p>
    <w:p>
      <w:pPr>
        <w:pStyle w:val="AppendixCode"/>
      </w:pPr>
      <w:r>
        <w:t xml:space="preserve">  fig_5_12_ranked_alignment = fig_5_12,</w:t>
      </w:r>
    </w:p>
    <w:p>
      <w:pPr>
        <w:pStyle w:val="AppendixCode"/>
      </w:pPr>
      <w:r>
        <w:t xml:space="preserve">  table_5_10 = table_5_10,</w:t>
      </w:r>
    </w:p>
    <w:p>
      <w:pPr>
        <w:pStyle w:val="AppendixCode"/>
      </w:pPr>
      <w:r>
        <w:t xml:space="preserve">  table_5_11 = table_5_11,</w:t>
      </w:r>
    </w:p>
    <w:p>
      <w:pPr>
        <w:pStyle w:val="AppendixCode"/>
      </w:pPr>
      <w:r>
        <w:t xml:space="preserve">  table_5_12 = table_5_12</w:t>
      </w:r>
    </w:p>
    <w:p>
      <w:pPr>
        <w:pStyle w:val="AppendixCode"/>
      </w:pPr>
      <w:r>
        <w:t>)</w:t>
      </w:r>
    </w:p>
    <w:p>
      <w:pPr>
        <w:pStyle w:val="Heading1"/>
      </w:pPr>
      <w:r>
        <w:t>A5.13 Software and methodological references</w:t>
      </w:r>
    </w:p>
    <w:p>
      <w:pPr>
        <w:spacing w:after="120"/>
      </w:pPr>
      <w:r>
        <w:t>Software and methodological references cited in Chapter 5 include R Core Team for R, Wickham for ggplot2 and tidyverse tools, Csardi and Nepusz for igraph, Bostock et al. for D3, Freeman, Wasserman and Faust, Borgatti et al., Newman, and Fortunato for network measures and community detection, and Peng, Sandve et al., Stodden et al., and Wilson et al. for reproducible computational research. These references are listed in the Chapter 5 reference list and need not be duplicated if the thesis style consolidates references by chapter.</w:t>
      </w:r>
    </w:p>
    <w:p>
      <w:pPr>
        <w:pStyle w:val="AppendixNote"/>
      </w:pPr>
      <w:r>
        <w:t>For final thesis deposit, retain this appendix with the Chapter 5 data archive. If any script is rerun and output files are regenerated, update MANIFEST.csv/MANIFEST.json and the SHA-256 checksum file so that the appendix, archive, and main chapter remain synchronised.</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Appendix 5.A - Chapter 5 Computational Methods, Tools, Packages, and Code Record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4C5C"/>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F4C5C"/>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F4C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F4C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pendixCode">
    <w:name w:val="Appendix Code"/>
    <w:pPr>
      <w:spacing w:after="0" w:line="240" w:lineRule="auto"/>
      <w:ind w:left="216"/>
    </w:pPr>
    <w:rPr>
      <w:rFonts w:ascii="Courier New" w:hAnsi="Courier New" w:eastAsia="Courier New"/>
      <w:sz w:val="14"/>
    </w:rPr>
  </w:style>
  <w:style w:type="paragraph" w:customStyle="1" w:styleId="AppendixCodeTitle">
    <w:name w:val="Appendix Code Title"/>
    <w:pPr>
      <w:spacing w:before="120" w:after="60"/>
    </w:pPr>
    <w:rPr>
      <w:rFonts w:ascii="Arial" w:hAnsi="Arial"/>
      <w:b/>
      <w:color w:val="0F4C5C"/>
      <w:sz w:val="18"/>
    </w:rPr>
  </w:style>
  <w:style w:type="paragraph" w:customStyle="1" w:styleId="AppendixNote">
    <w:name w:val="Appendix Note"/>
    <w:pPr>
      <w:spacing w:after="120"/>
      <w:ind w:left="216"/>
    </w:pPr>
    <w:rPr>
      <w:rFonts w:ascii="Arial" w:hAnsi="Arial"/>
      <w: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