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Stage 3 — Thematic categorisation and construction of final governance attributes (Python workflow)</w:t>
      </w:r>
    </w:p>
    <w:p>
      <w:r>
        <w:t>Stage 3 performs analytic reduction and synthesis: it condenses the Stage 2 theme universe into a defensible measurement model and translates the resulting conceptual categories into the nine governance attributes used for inter-IGO comparison in Part II. Following the data-condensation logic set out by Miles, Huberman, and Saldaña (2014), reduction is treated as a sequence of explicit rules rather than an implicit interpretive leap. Braun and Clarke (2006) emphasise that thematic abstraction should remain grounded in iteratively revisited evidence; Strauss and Corbin (1998) similarly argue that consolidation requires constant comparison of codes in context. Stage 3 therefore combines (i) rule-based consolidation maps and memoed boundary judgements with (ii) deterministic diagnostics computed in Python, so that each reduction step can be regenerated from the same inputs and inspected at excerpt level, consistent with the transparency expectations discussed by Krippendorff (2018) and Neuendorf (2017).</w:t>
      </w:r>
    </w:p>
    <w:p>
      <w:pPr>
        <w:pStyle w:val="Heading2"/>
      </w:pPr>
      <w:r>
        <w:t>3.1 Inputs and reproducible run context</w:t>
      </w:r>
    </w:p>
    <w:p>
      <w:r>
        <w:t>Stage 3 consumes two artefacts exported from Stage 2: (a) the Theme Universe (n = 80; Stage 2 sheet “05_ThemeUniverse_80”) and (b) the full-corpus excerpt export S4 (Stage 2 sheet “13_Full_Pass2_S4”), which contains page-anchored paragraph excerpts and their associated theme tags. In the current reproducible run, the S4 export contains 1,805 paragraph excerpts with retained evidence across 48 documents; the corpus directory contained 67 governance PDFs at run time (the missing-file roster is recorded in Stage 2 sheet “02_MissingPDFs”). All Stage 3 computations were implemented in Python using pandas for tabular operations as described by McKinney (2010), NumPy for deterministic array operations, scikit-learn utilities for vectorisation where required as documented by Pedregosa et al. (2011), NetworkX for network diagnostics following Hagberg, Schult, and Swart (2008), and matplotlib for figure generation following Hunter (2007). Run metadata, package versions, and input hashes are recorded in the Stage 3 bundle (Stage3_Python_NLP_Reduction_BUNDLE_v1.xlsx, sheets “00_SummaryStats” and “01_Environment”), consistent with reproducible-computation guidance by Sandve et al. (2013) and the “good enough practices” discussed by Wilson et al. (2017).</w:t>
      </w:r>
    </w:p>
    <w:p>
      <w:pPr>
        <w:pStyle w:val="Heading2"/>
      </w:pPr>
      <w:r>
        <w:t>3.2 Step 0 — Boundary check: governance constructs vs jurisdiction descriptors</w:t>
      </w:r>
    </w:p>
    <w:p>
      <w:r>
        <w:t>Before reduction, Stage 3 tests whether any Stage 2 themes describe what is governed (issue domains) or where governance applies (spatial descriptors), rather than how governance operates. This boundary check implements the construct-validity concern raised in content-analysis methods, where categories should represent the analytic object of interest rather than adjacent contextual descriptors, as outlined by Krippendorff (2018). Operationally, a rule-based classifier flags potential Subject Matter Jurisdiction (SMJ) and Spatial Jurisdiction (SJ) descriptors using controlled keyword lists; flagged items are routed to a descriptor inventory for manual confirmation. In the current run, no Theme Universe labels met the descriptor criteria, so all themes proceeded as governance constructs (recorded in the Stage 3 Decision and Computation Log; Stage3_Decision_and_Computation_Log.csv).</w:t>
      </w:r>
    </w:p>
    <w:p>
      <w:pPr>
        <w:pStyle w:val="Heading2"/>
      </w:pPr>
      <w:r>
        <w:t>3.3 Step 1 — Normalisation: lexical and terminological consolidation (80 → 56)</w:t>
      </w:r>
    </w:p>
    <w:p>
      <w:r>
        <w:t>Step 1 reduces linguistic redundancy by consolidating orthographic variants and near-duplicate labels into canonical concepts, while preserving conceptual distinctions needed for later synthesis. Saldaña’s (2016) guidance on codebook refinement motivates this step: normalisation reduces coder drift and improves the stability of downstream aggregation. In practice, the normalisation is implemented as a deterministic merge map (theme_raw → concept_56) stored as a configuration layer in the Stage 3 scripts, and materialised as the “concept_56” column in Table E (Table_E_Stage3_Reduction_Ledger.csv). Examples include consolidating “Transparency”, “Transparency mechanisms”, and “Transparency and access to information” under a single canonical concept, as well as aligning closely related accountability labels under “Accountability mechanisms”. All normalisation operations are logged with memo text and a page-linked exemplar excerpt, enabling later inspection of whether merged items function equivalently in context.</w:t>
      </w:r>
    </w:p>
    <w:p>
      <w:pPr>
        <w:pStyle w:val="Heading2"/>
      </w:pPr>
      <w:r>
        <w:t>3.4 Step 2 — Salience screening: document-frequency gate (56 → 31)</w:t>
      </w:r>
    </w:p>
    <w:p>
      <w:r>
        <w:t>Step 2 applies a transparent salience gate to focus the synthesis on constructs that recur across the evidence base. Rather than treating frequency as a proxy for theoretical importance, the gate functions as a design rule to prevent analytic categories being built on isolated rhetorical mentions, which Miles, Huberman, and Saldaña (2014) identify as a common failure mode in data condensation. The salience metric is document frequency, defined as the number of distinct source documents in which a concept appears at least once in the S4 excerpt set. Document frequency and excerpt frequency are computed deterministically in pandas (McKinney, 2010) from the long-form tag table derived from S4. In the current run, concepts are retained if doc_freq ≥ floor(0.8 × N_docs_with_evidence), yielding a threshold of 38 documents and a retained set of 31 concepts; excluded items remain visible in Table E with their frequency values and exclusion rule.</w:t>
      </w:r>
    </w:p>
    <w:p>
      <w:pPr>
        <w:pStyle w:val="Heading2"/>
      </w:pPr>
      <w:r>
        <w:t>3.5 Step 3 — Axial consolidation: overlap reduction using co-occurrence diagnostics (31 → 22)</w:t>
      </w:r>
    </w:p>
    <w:p>
      <w:r>
        <w:t>Step 3 performs axial consolidation in the sense used by Strauss and Corbin (1998): it merges constructs that remain analytically redundant after normalisation and salience screening, when evidence indicates they describe the same underlying governance mechanism. To discipline consolidation, Stage 3 combines (i) a deterministic construct merge map (concept_56 → construct_22) with (ii) co-occurrence diagnostics computed on excerpt-level multi-tagging. Co-occurrence is assessed at excerpt level, and association strength is summarised using Normalised Pointwise Mutual Information, a standard measure for collocation and association strength discussed by Bouma (2009). This diagnostic layer is not used to “discover” constructs; it functions as a reproducible check that consolidation targets recurrent, strongly associated overlaps rather than incidental proximity. In the current run, Step 3 yields 22 final constructs, including consolidations such as merging the monitoring family into “MRV and evaluation” and merging “Compliance” and “Enforcement” into “Compliance and enforcement”; all Step 3 merges are recorded in Table E with supporting evidence pointers.</w:t>
      </w:r>
    </w:p>
    <w:p>
      <w:pPr>
        <w:pStyle w:val="Heading2"/>
      </w:pPr>
      <w:r>
        <w:t>3.6 Step 4 — Category induction and coherence testing (22 → 5)</w:t>
      </w:r>
    </w:p>
    <w:p>
      <w:r>
        <w:t>Step 4 induces five higher-order governance categories by assigning each final construct to the institutional function it primarily represents. Ostrom (2005) and Young (2002) both caution that institutional analysis must distinguish governance mechanisms from contextual manifestations, implying that category definitions should be functionally grounded rather than purely lexical. Accordingly, category membership is assigned using explicit functional criteria and recorded in Table E and Table E3. As a coherence diagnostic, Stage 3 constructs an NPMI-weighted co-occurrence network in NetworkX (Hagberg et al., 2008) and summarises within-category density and salient cross-category ties; modularity-based greedy partitioning following Newman (2006) is used as a robustness check rather than a category-generation algorithm. The diagnostics are visualised in Figure 7 (Figure_7_ConstructCooccurrence_NPMI_v1.png) and summarised in Table E2 and Table E3.</w:t>
      </w:r>
    </w:p>
    <w:p>
      <w:pPr>
        <w:pStyle w:val="Heading2"/>
      </w:pPr>
      <w:r>
        <w:t>3.7 Translation into the nine-attribute taxonomy</w:t>
      </w:r>
    </w:p>
    <w:p>
      <w:r>
        <w:t>The final step translates the five categories into the nine attributes used in Part II (YE, SJ, SMJ, SoJ, DO, STR, IIR, VC, HC). Miles, Huberman, and Saldaña (2014) describe this as moving from category structure to operational measurement dimensions, where categories organise meaning and attributes define comparable evidence types. Stage 3 implements this translation through crosswalk tables: Table C maps categories to attribute codes, Table C2 maps constructs to attributes, and Table D2 records boundary rules and evidence sources for each attribute. This crosswalk is designed to preserve interpretability by ensuring that each attribute can be traced back to the construct set and, through Table E, to page-anchored excerpt evidence.</w:t>
      </w:r>
    </w:p>
    <w:p>
      <w:pPr>
        <w:pStyle w:val="Heading2"/>
      </w:pPr>
      <w:r>
        <w:t>3.8 Outputs and bundle structure</w:t>
      </w:r>
    </w:p>
    <w:p>
      <w:r>
        <w:t>Stage 3 outputs are exported as a reproducibility bundle comprising (i) an Excel bundle (Stage3_Python_NLP_Reduction_BUNDLE_v1.xlsx) containing Table E, Table E2, Table E3, Tables C/C2, and Table D2, (ii) CSV exports of the same artefacts, (iii) figures for the workflow and co-occurrence diagnostics (Figures 3.4, 3.4b, and 7), and (iv) a script bundle with configuration files, requirements, and a run log. This structure enables replication (re-running the scripts to regenerate all tables and figures from the Stage 2 inputs) and auditability (inspecting how each consolidation decision changes construct membership and downstream category and attribute mappings).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