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48"/>
          <w:szCs w:val="48"/>
          <w:rtl w:val="0"/>
        </w:rPr>
        <w:t xml:space="preserve">Account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444444"/>
          <w:sz w:val="32"/>
          <w:szCs w:val="32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Version 1.0  |  April 2026  |  Author: Ibung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Creator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2026/08/04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Initial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V.1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Ibung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80" w:before="360" w:line="240" w:lineRule="auto"/>
        <w:jc w:val="center"/>
        <w:rPr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color w:val="2e4057"/>
          <w:sz w:val="26"/>
          <w:szCs w:val="26"/>
          <w:highlight w:val="yellow"/>
          <w:rtl w:val="0"/>
        </w:rPr>
        <w:t xml:space="preserve">Prototype:</w:t>
      </w:r>
      <w:hyperlink r:id="rId6">
        <w:r w:rsidDel="00000000" w:rsidR="00000000" w:rsidRPr="00000000">
          <w:rPr>
            <w:b w:val="1"/>
            <w:bCs w:val="1"/>
            <w:color w:val="2e4057"/>
            <w:sz w:val="26"/>
            <w:szCs w:val="26"/>
            <w:highlight w:val="yellow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highlight w:val="yellow"/>
            <w:u w:val="single"/>
            <w:rtl w:val="0"/>
          </w:rPr>
          <w:t xml:space="preserve">https://account-settings-prototype.vercel.app/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before="360" w:line="240" w:lineRule="auto"/>
        <w:rPr>
          <w:rFonts w:ascii="Calibri" w:cs="Calibri" w:eastAsia="Calibri" w:hAnsi="Calibri"/>
          <w:b w:val="1"/>
          <w:bCs w:val="1"/>
          <w:color w:val="2e405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before="360" w:line="240" w:lineRule="auto"/>
        <w:rPr>
          <w:rFonts w:ascii="Calibri" w:cs="Calibri" w:eastAsia="Calibri" w:hAnsi="Calibri"/>
          <w:b w:val="1"/>
          <w:bCs w:val="1"/>
          <w:color w:val="2e405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before="360" w:line="240" w:lineRule="auto"/>
        <w:rPr>
          <w:rFonts w:ascii="Calibri" w:cs="Calibri" w:eastAsia="Calibri" w:hAnsi="Calibri"/>
          <w:b w:val="1"/>
          <w:bCs w:val="1"/>
          <w:color w:val="2e405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360" w:line="240" w:lineRule="auto"/>
        <w:rPr>
          <w:rFonts w:ascii="Calibri" w:cs="Calibri" w:eastAsia="Calibri" w:hAnsi="Calibri"/>
          <w:b w:val="1"/>
          <w:bCs w:val="1"/>
          <w:color w:val="2e405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before="360" w:line="240" w:lineRule="auto"/>
        <w:rPr>
          <w:rFonts w:ascii="Calibri" w:cs="Calibri" w:eastAsia="Calibri" w:hAnsi="Calibri"/>
          <w:b w:val="1"/>
          <w:bCs w:val="1"/>
          <w:color w:val="2e405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0" w:before="360" w:line="240" w:lineRule="auto"/>
        <w:rPr>
          <w:rFonts w:ascii="Calibri" w:cs="Calibri" w:eastAsia="Calibri" w:hAnsi="Calibri"/>
          <w:b w:val="1"/>
          <w:bCs w:val="1"/>
          <w:color w:val="2e405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0" w:before="360" w:line="240" w:lineRule="auto"/>
        <w:rPr>
          <w:rFonts w:ascii="Calibri" w:cs="Calibri" w:eastAsia="Calibri" w:hAnsi="Calibri"/>
          <w:b w:val="1"/>
          <w:bCs w:val="1"/>
          <w:color w:val="2e405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360" w:line="240" w:lineRule="auto"/>
        <w:rPr>
          <w:rFonts w:ascii="Calibri" w:cs="Calibri" w:eastAsia="Calibri" w:hAnsi="Calibri"/>
          <w:b w:val="1"/>
          <w:bCs w:val="1"/>
          <w:color w:val="2e405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0" w:before="360" w:line="240" w:lineRule="auto"/>
        <w:rPr>
          <w:rFonts w:ascii="Calibri" w:cs="Calibri" w:eastAsia="Calibri" w:hAnsi="Calibri"/>
          <w:b w:val="1"/>
          <w:bCs w:val="1"/>
          <w:color w:val="2e405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0" w:before="360" w:line="240" w:lineRule="auto"/>
        <w:rPr>
          <w:rFonts w:ascii="Calibri" w:cs="Calibri" w:eastAsia="Calibri" w:hAnsi="Calibri"/>
          <w:b w:val="1"/>
          <w:bCs w:val="1"/>
          <w:color w:val="2e405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360" w:line="240" w:lineRule="auto"/>
        <w:rPr>
          <w:rFonts w:ascii="Calibri" w:cs="Calibri" w:eastAsia="Calibri" w:hAnsi="Calibri"/>
          <w:b w:val="1"/>
          <w:bCs w:val="1"/>
          <w:color w:val="2e405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3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36"/>
          <w:szCs w:val="36"/>
          <w:rtl w:val="0"/>
        </w:rPr>
        <w:t xml:space="preserve">Section 1: Account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8"/>
          <w:szCs w:val="28"/>
          <w:rtl w:val="0"/>
        </w:rPr>
        <w:t xml:space="preserve">0. Module Objectives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Calibri" w:cs="Calibri" w:eastAsia="Calibri" w:hAnsi="Calibri"/>
        </w:rPr>
      </w:pPr>
      <w:r>
        <w:t>0.1 Objective: Define the Account Settings screen for the V1 launch. The settings screen uses a collapsed-header navigation pattern: on open, the user sees only section headers (General, Account, Notifications, Terms and Policies) and a standalone Logout button. Tapping a header navigates to a sub-screen showing that section’s items. This pattern is designed for scalability; new items can be added to any section in future versions without changing the top-level UI.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0.2 Scope: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Settings screen IA, collapsed-header navigation with drill-down sub-screens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UX behaviour for Terms and Policies items (webview redirects)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UX behaviour for Delete Account (soft delete with 30-day grace period)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Compliance notes and known deferred risks</w:t>
      </w:r>
    </w:p>
    <w:p>
      <w:r>
        <w:t>E) Notification Manager — grouped toggle UI for activity notifications (master “All” + granular types); persistence and server sync defined with backend.</w:t>
      </w:r>
    </w:p>
    <w:p w:rsidR="00000000" w:rsidDel="00000000" w:rsidP="00000000" w:rsidRDefault="00000000" w:rsidRPr="00000000" w14:paraId="00000023">
      <w:pPr>
        <w:spacing w:after="14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8"/>
          <w:szCs w:val="28"/>
          <w:rtl w:val="0"/>
        </w:rPr>
        <w:t xml:space="preserve">1. Feature List</w:t>
      </w:r>
      <w:r w:rsidDel="00000000" w:rsidR="00000000" w:rsidRPr="00000000">
        <w:rPr>
          <w:rtl w:val="0"/>
        </w:rPr>
      </w:r>
    </w:p>
    <w:tbl>
      <w:tblPr>
        <w:tblStyle w:val="Table2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6465"/>
        <w:tblGridChange w:id="0">
          <w:tblGrid>
            <w:gridCol w:w="2805"/>
            <w:gridCol w:w="6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Terms &amp;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Static webview redirect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Privacy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Static webview redirect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Do Not Sell My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Static webview redirect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About onemore (moved)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Static webview redirect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Notification Manager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Sub-screen with toggles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Delete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Action — soft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Clickable Section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Navigation — push to sub-screen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before="280" w:line="240" w:lineRule="auto"/>
        <w:rPr>
          <w:rFonts w:ascii="Calibri" w:cs="Calibri" w:eastAsia="Calibri" w:hAnsi="Calibri"/>
          <w:b w:val="1"/>
          <w:bCs w:val="1"/>
          <w:color w:val="2e405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before="280" w:line="240" w:lineRule="auto"/>
        <w:rPr>
          <w:rFonts w:ascii="Calibri" w:cs="Calibri" w:eastAsia="Calibri" w:hAnsi="Calibri"/>
          <w:b w:val="1"/>
          <w:bCs w:val="1"/>
          <w:color w:val="2e405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before="280" w:line="240" w:lineRule="auto"/>
        <w:rPr>
          <w:rFonts w:ascii="Calibri" w:cs="Calibri" w:eastAsia="Calibri" w:hAnsi="Calibri"/>
          <w:b w:val="1"/>
          <w:bCs w:val="1"/>
          <w:color w:val="2e405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before="280" w:line="240" w:lineRule="auto"/>
        <w:rPr>
          <w:rFonts w:ascii="Calibri" w:cs="Calibri" w:eastAsia="Calibri" w:hAnsi="Calibri"/>
          <w:b w:val="1"/>
          <w:bCs w:val="1"/>
          <w:color w:val="2e405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before="280" w:line="240" w:lineRule="auto"/>
        <w:rPr>
          <w:rFonts w:ascii="Calibri" w:cs="Calibri" w:eastAsia="Calibri" w:hAnsi="Calibri"/>
          <w:b w:val="1"/>
          <w:bCs w:val="1"/>
          <w:color w:val="2e405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8"/>
          <w:szCs w:val="28"/>
          <w:rtl w:val="0"/>
        </w:rPr>
        <w:t xml:space="preserve">2. Updated Settings Screen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Calibri" w:cs="Calibri" w:eastAsia="Calibri" w:hAnsi="Calibri"/>
        </w:rPr>
      </w:pPr>
      <w:r>
        <w:t>The Settings screen opens in a collapsed state: the user sees only tappable section headers and a standalone Logout button (no section header). Tapping a header pushes a sub-screen that displays only that section’s items. Order from top to bottom: General, Account, Notifications, Terms and Policies, Logout.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Language — English &amp; Bahasa Indonesia only. Additional languages (e.g. Spanish) planned for future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>
            <w:r>
              <w:t>Account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>
            <w:r>
              <w:t>Delete Account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>
            <w:r>
              <w:t>Notifications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>
            <w:r>
              <w:t>Notification Manager — master “All notifications” toggle plus per-activity toggles (Likes, Comments, Remixes, Mentions, Followers). See §5.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Terms and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Terms &amp; Conditions  |  Privacy Policy  |  Do Not Sell My Data  |  About onemore (existing, moved)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— (no header)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Logout — standalone button, no section header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8"/>
          <w:szCs w:val="28"/>
          <w:rtl w:val="0"/>
        </w:rPr>
        <w:t xml:space="preserve">3. Terms and Policies — UX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2.1 Navigation Pattern — Clickable Section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Calibri" w:cs="Calibri" w:eastAsia="Calibri" w:hAnsi="Calibri"/>
        </w:rPr>
      </w:pPr>
      <w:r>
        <w:t>Default state: When the Settings screen opens, all sections are collapsed. The user sees only the section headers (General, Account, Notifications, Terms and Policies) displayed as tappable rows with a trailing chevron (›), plus a standalone Logout button at the bottom with no section header.</w:t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Tap behaviour: Tapping a section header navigates (push transition) to a new sub-screen that shows only that section’s items. The sub-screen has a back button returning to the main Settings screen.</w:t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Scalability rationale: This pattern allows new items (e.g. notification preferences, linked accounts, privacy settings) to be added to any section in future versions without changing the top-level Settings UI.</w:t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four items under Terms and Policies share identical UX behaviour. The only difference is the URL each one opens.</w:t>
      </w:r>
    </w:p>
    <w:p w:rsidR="00000000" w:rsidDel="00000000" w:rsidP="00000000" w:rsidRDefault="00000000" w:rsidRPr="00000000" w14:paraId="00000050">
      <w:pPr>
        <w:spacing w:after="10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Entry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Settings &gt; Terms and Policies (header tap → sub-screen) &gt; [item name] — tappable row with trailing chevron (›)</w:t>
      </w:r>
    </w:p>
    <w:p w:rsidR="00000000" w:rsidDel="00000000" w:rsidP="00000000" w:rsidRDefault="00000000" w:rsidRPr="00000000" w14:paraId="00000052">
      <w:pPr>
        <w:spacing w:after="10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Tapping opens an in-app WebView pointed at the corresponding legal URL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WebView has a visible close / back button returning the user to Settings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login required to view any document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URLs are managed by the web/legal team — app only needs the URL string, no backend work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Error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URL fails to load: display — 'Unable to load. Please try again.' with a Retry button.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4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8"/>
          <w:szCs w:val="28"/>
          <w:rtl w:val="0"/>
        </w:rPr>
        <w:t xml:space="preserve">4. Delete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Entry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Settings &gt; Account (header tap → sub-screen) &gt; Delete Account — tappable row with red/warning text styling (not a standard chevron row).</w:t>
      </w:r>
    </w:p>
    <w:p w:rsidR="00000000" w:rsidDel="00000000" w:rsidP="00000000" w:rsidRDefault="00000000" w:rsidRPr="00000000" w14:paraId="0000005E">
      <w:pPr>
        <w:spacing w:after="10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Step-by-Step Behaviour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8640"/>
        <w:tblGridChange w:id="0">
          <w:tblGrid>
            <w:gridCol w:w="720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User taps 'Delete Account'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Confirmation modal appears with warning copy and two CTAs: Cancel and Delete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If user confirms: account status set to pending_deletion; deletion_scheduled_at timestamp recorded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User is immediately logged out and redirected to the login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During 30-day grace period: account hidden from all public surfaces (feed, search, profile)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If user logs back in during grace period: account automatically restored; reactivation banner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After 30 days with no reactivation: scheduled BE job performs hard delete of all account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Confirmation Modal Copy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Delete your account?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Your account and content will be deactivated for 30 days. After that, everything will be permanently deleted and cannot be recovered.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Delete Account  [destructive / red styling]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Secondary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0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Upload in progress: complete or cancel before deletion is processed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Active credits: forfeited on confirmed deletion — no refund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Username during grace period: reserved for 30 days, released after hard delete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Reactivation banner: 'Welcome back! Your account has been reactivated.'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cancels modal: no action taken, user stays on Settings screen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200" w:line="240" w:lineRule="auto"/>
        <w:rPr>
          <w:rFonts w:ascii="Calibri" w:cs="Calibri" w:eastAsia="Calibri" w:hAnsi="Calibri"/>
          <w:b w:val="1"/>
          <w:bCs w:val="1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Delete Account — Full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12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6107170" cy="7195170"/>
            <wp:effectExtent b="0" l="0" r="0" t="0"/>
            <wp:docPr descr="Figure 1 — Delete Account Flow (soft delete with 30-day grace period)" id="1" name="image1.png"/>
            <a:graphic>
              <a:graphicData uri="http://schemas.openxmlformats.org/drawingml/2006/picture">
                <pic:pic>
                  <pic:nvPicPr>
                    <pic:cNvPr descr="Figure 1 — Delete Account Flow (soft delete with 30-day grace period)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7170" cy="7195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Figure 1 — Delete Account Flow (soft delete with 30-day grace period)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4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8"/>
          <w:szCs w:val="28"/>
          <w:rtl w:val="0"/>
        </w:rPr>
        <w:t xml:space="preserve">5.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Calibri" w:cs="Calibri" w:eastAsia="Calibri" w:hAnsi="Calibri"/>
        </w:rPr>
      </w:pPr>
      <w:r>
        <w:t>The Notification Manager sub-screen is accessible from Settings → Notifications. It follows the same information architecture as a standard grouped “Notifications” screen (master “All” switch, then activity-type rows), but is visually styled for onemore: dark background, Inter typography, rounded grouped panels, separators, and mint accent for active toggles (see §5.3). Full notification delivery, triggers, and push infrastructure are owned by a separate PRD; this section covers the in-app preferences UI only.</w:t>
      </w:r>
    </w:p>
    <w:p w:rsidR="00000000" w:rsidDel="00000000" w:rsidP="00000000" w:rsidRDefault="00000000" w:rsidRPr="00000000" w14:paraId="00000089">
      <w:pPr>
        <w:spacing w:after="10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5.1 Entry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Settings root &gt; Notifications (header tap → sub-screen)</w:t>
      </w:r>
    </w:p>
    <w:p w:rsidR="00000000" w:rsidDel="00000000" w:rsidP="00000000" w:rsidRDefault="00000000" w:rsidRPr="00000000" w14:paraId="0000008B">
      <w:pPr>
        <w:spacing w:after="10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5.2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800"/>
        <w:gridCol w:w="2160"/>
        <w:gridCol w:w="2700"/>
        <w:gridCol w:w="2700"/>
        <w:tblGridChange w:id="0">
          <w:tblGrid>
            <w:gridCol w:w="1800"/>
            <w:gridCol w:w="216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 /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All (master)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Turn off all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ON. When toggled OFF: all individual toggles visually disabled/greyed out. Last state preserved.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Likes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Likes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When someone likes your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When someone comments on your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Remixes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Remixes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When someone remixes your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Mentions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Mentions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When someone mentions you in a 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Followers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Followers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When someone follows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/>
      <w:r>
        <w:rPr>
          <w:b/>
        </w:rPr>
        <w:t>5.3 Layout &amp; visual design (onemore)</w:t>
      </w:r>
    </w:p>
    <w:p>
      <w:r>
        <w:t>Structure mirrors a grouped list: (1) section label “ALL NOTIFICATIONS” with one row — title “All”, sublabel “Turn off all notifications”, trailing switch; (2) section label “ACTIVITY” with five rows (Likes, Comments, Remixes, Mentions, Followers), each with primary label, gray sublabel describing the trigger, and trailing switch. Visual language matches the Account Settings prototype: black page background (#000000), content on raised rounded-rect panels (#1c1c1e) with subtle border/separator lines (rgba white ~8%), Inter 16–17px labels, muted gray (#9a9aa3) for sublabels and section headers, mint accent (#42d3a5) for ON switches and focus. Optional one-line intro under the nav bar in muted text: e.g. “Manage what notifications you receive from activity.” Not a light iOS System Settings clone — stay on-brand with the dark onemore UI.</w:t>
      </w:r>
    </w:p>
    <w:p>
      <w:r>
        <w:rPr>
          <w:b/>
        </w:rPr>
        <w:t>5.4 Interaction behaviour</w:t>
      </w:r>
    </w:p>
    <w:p>
      <w:r>
        <w:t>Back chevron in the nav bar returns to the main Settings screen (same push/stack behaviour as other sections). Master “All”: OFF greys out and disables the five activity toggles (non-interactive); their previous on/off values remain stored so turning “All” back ON restores prior choices. Individual toggles: changing any single type updates only that preference; they do not automatically flip “All” unless the implementation chooses to derive master state (recommended: master OFF only when all children OFF; master ON if any child ON — document in QA). Accessibility: each row exposes label + sublabel to the screen reader; switches have explicit accessibility states.</w:t>
      </w:r>
    </w:p>
    <w:p w:rsidR="00000000" w:rsidDel="00000000" w:rsidP="00000000" w:rsidRDefault="00000000" w:rsidRPr="00000000" w14:paraId="000000A9">
      <w:pPr>
        <w:spacing w:after="14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8"/>
          <w:szCs w:val="28"/>
          <w:rtl w:val="0"/>
        </w:rPr>
        <w:t xml:space="preserve">6. Out of Scope (V.1)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Age gate at signup — deferred to V1.2 (documented as known compliance risk below)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Feedback / bug report form — deferred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>
        <w:t>C) Blocked accounts list and other social-safety tooling — future versions. (Per-activity notification toggles are in scope for V1 — see §5.)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Full COPPA legal review — requires external counsel, planned pre-scale</w:t>
      </w:r>
    </w:p>
    <w:p w:rsidR="00000000" w:rsidDel="00000000" w:rsidP="00000000" w:rsidRDefault="00000000" w:rsidRPr="00000000" w14:paraId="000000AE">
      <w:pPr>
        <w:spacing w:after="140" w:before="280" w:line="240" w:lineRule="auto"/>
        <w:rPr>
          <w:rFonts w:ascii="Calibri" w:cs="Calibri" w:eastAsia="Calibri" w:hAnsi="Calibri"/>
          <w:b w:val="1"/>
          <w:bCs w:val="1"/>
          <w:color w:val="2e405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4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4057"/>
          <w:sz w:val="28"/>
          <w:szCs w:val="28"/>
          <w:rtl w:val="0"/>
        </w:rPr>
        <w:t xml:space="preserve">7. Compliance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7.1 What This Version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Terms &amp; Conditions — accessible in-app via WebView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Privacy Policy — accessible in-app via WebView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Sell My Data — accessible in-app via WebView (CCPA requirement for California users)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Account deletion — available in-app with soft-delete grace period (Google Play mandatory requirement)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4"/>
          <w:szCs w:val="24"/>
          <w:rtl w:val="0"/>
        </w:rPr>
        <w:t xml:space="preserve">7.2 Known Risks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Legal counsel should review all items below before onemore exceeds 1,000 users or launches paid user acquisition.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60"/>
        <w:gridCol w:w="3000"/>
        <w:tblGridChange w:id="0">
          <w:tblGrid>
            <w:gridCol w:w="2600"/>
            <w:gridCol w:w="37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COPPA — AI training on user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2025 COPPA amendment requires separate parental consent before using personal data for AI training. Vibe coding engine uses user inputs.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Legal review required pre-scale. Flag to counsel before V1.2.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Age gate at 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No age verification exists. If a known minor signs up, COPPA obligations are triggered. Acceptable risk at &lt;100 user launch scale.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Add birth-year gate at signup in V1.2.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SDK audit (AppsFlyer)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AppsFlyer collects device identifiers. Needs audit for COPPA kids-safe mode before scaling.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SDK audit before V1.2 scale-up.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State App Store Accountability 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TX, CA, UT, LA passed laws requiring age assurance for all apps. Compliance dates through 2026.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Monitor. Not a launch blocker for April 2026.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m-tool-prototype.vercel.app/" TargetMode="External"/><Relationship Id="rId7" Type="http://schemas.openxmlformats.org/officeDocument/2006/relationships/hyperlink" Target="https://account-settings-prototype.vercel.app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