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Matriz de Rastreabilidade — EntregaJá</w:t>
      </w:r>
    </w:p>
    <w:p>
      <w:pPr>
        <w:spacing w:after="400"/>
      </w:pPr>
      <w:r>
        <w:rPr>
          <w:i/>
          <w:iCs/>
          <w:color w:val="444444"/>
          <w:sz w:val="18"/>
          <w:szCs w:val="18"/>
        </w:rPr>
        <w:t xml:space="preserve">Os identificadores seguem o Guia Detalhado do Estudo de Caso (RF01–RF12, RN01–RN07, RNF01–RNF07). As ADRs referenciadas estão em docs/adr/.</w:t>
      </w:r>
    </w:p>
    <w:p>
      <w:pPr>
        <w:pStyle w:val="Heading2"/>
        <w:spacing w:after="160" w:before="400"/>
      </w:pPr>
      <w:r>
        <w:t xml:space="preserve">1. Requisitos Funcionais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Manter catálogo de produtos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ADR-003, ADR-005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cache seletivo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CRUD de produtos; medir latência de listagem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Buscar e filtrar produtos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ADR-003, ADR-005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paginação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Pesquisa por nome/categoria; latência &lt; 1,5 s no p95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Gerenciar categorias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CRUD de categorias; retorno correto por ID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Montar e editar carrinho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CarrinhoService, ItemDoCarrinho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Adicionar/remover itens; persistência entre sessões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Finalizar compra (checkout)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ADR-001, 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CheckoutService, EstoqueService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Checkout com reserva de estoque; teste de concorrência na última unidade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Processar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PagamentoAdapter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Simular aprovação e recusa do gateway simulado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Garantir idempotência de pagamento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chave de idempotência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Reenviar mesma chave; verificar cobrança única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RF08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Atualizar e consultar status do pedido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PedidoService, eventos de domínio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Alterar status; consultar histórico de estados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RF09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Acompanhar entrega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EntregaService, eventos de domínio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Atribuir entregador; atualizar e consultar status de entrega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RF10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Gerenciar estoque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bloqueio otimista (@Version)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Compra simultânea da última unidade → estoque nunca negativo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Controle de acesso por perfil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— (ver Nota 1)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Spring Security, autorização por perfil (RBAC)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Testar acesso permitido e negado por perfil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Avaliar pedido entregue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AvaliacaoService, evento PEDIDO_ENTREGUE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Avaliação só disponível após status ENTREGUE (RN05)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2. Regras de Negócio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Validar estoque antes de confirmar pedido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transação atômica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Dois usuários compram última unidade; apenas um confirmado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Iniciar preparo somente após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 de Pedido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Forçar EM_PREPARO sem pagamento → rejeição esperada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Preço registrado no momento da compra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ADR-003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ItemDoPedido.precoUnitario (imutável)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Alterar preço do produto; pedido existente mantém valor original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Idempotência no pagamento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PagamentoService, chave de idempotência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Reprocessar evento de pagamento; estado deve permanecer o mesmo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Avaliação somente após entrega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ADR-002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estados, AvaliacaoService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Tentar avaliar pedido EM_ROTA → erro esperado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Status do pedido não retrocede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 de Pedido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Tentar regredir PAGO → CRIADO → rejeição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Cancelamento segue regras explícitas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Máquina de estados, transições de cancelamento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Cancelar nas fases permitidas; verificar bloqueio fora delas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3. Requisitos Não Funcionais</w:t>
      </w:r>
    </w:p>
    <w:tbl>
      <w:tblPr>
        <w:tblW w:type="dxa" w:w="1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800"/>
        <w:gridCol w:w="5600"/>
      </w:tblGrid>
      <w:tr>
        <w:trPr>
          <w:tblHeader/>
        </w:trPr>
        <w:tc>
          <w:tcPr>
            <w:tcW w:type="dxa" w:w="10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2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ADR relacionada</w:t>
            </w:r>
          </w:p>
        </w:tc>
        <w:tc>
          <w:tcPr>
            <w:tcW w:type="dxa" w:w="38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 / Tática</w:t>
            </w:r>
          </w:p>
        </w:tc>
        <w:tc>
          <w:tcPr>
            <w:tcW w:type="dxa" w:w="5600"/>
            <w:shd w:fill="1F3864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RNF01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Escalabilidade do catálogo (pico 10×)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ADR-005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cache Caffeine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Teste de carga; latência &lt; 2 s no p95 sob pico simulado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Desempenho na busca de produtos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ADR-005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CatalogoService, índice no banco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Consulta com filtro; latência &lt; 1,5 s no p95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RNF03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Consistência de estoque sob concorrência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ADR-001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EstoqueService, bloqueio otimista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Estoque nunca negativo após compras simultâneas automatizadas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RNF04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Disponibilidade parcial (gateway indisponível)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PagamentoAdapter, isolamento de falha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Simular gateway fora; catálogo e carrinho continuam operando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RNF05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Resiliência a timeout de pagamento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PagamentoAdapter, timeout configurado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Simular timeout; pedido deve ir para PENDENTE_PAGAMENTO</w:t>
            </w:r>
          </w:p>
        </w:tc>
      </w:tr>
      <w:tr>
        <w:tc>
          <w:tcPr>
            <w:tcW w:type="dxa" w:w="10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RNF06</w:t>
            </w:r>
          </w:p>
        </w:tc>
        <w:tc>
          <w:tcPr>
            <w:tcW w:type="dxa" w:w="2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Segurança de dados</w:t>
            </w:r>
          </w:p>
        </w:tc>
        <w:tc>
          <w:tcPr>
            <w:tcW w:type="dxa" w:w="1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— (ver Nota 1)</w:t>
            </w:r>
          </w:p>
        </w:tc>
        <w:tc>
          <w:tcPr>
            <w:tcW w:type="dxa" w:w="38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HTTPS, Spring Security, cartão não armazenado</w:t>
            </w:r>
          </w:p>
        </w:tc>
        <w:tc>
          <w:tcPr>
            <w:tcW w:type="dxa" w:w="5600"/>
            <w:shd w:fill="DCE6F1" w:val="clear"/>
            <w:vAlign w:val="center"/>
          </w:tcPr>
          <w:p>
            <w:r>
              <w:rPr>
                <w:sz w:val="18"/>
                <w:szCs w:val="18"/>
              </w:rPr>
              <w:t xml:space="preserve">Revisão de código; teste de acesso não autorizado; ausência de dados sensíveis em logs</w:t>
            </w:r>
          </w:p>
        </w:tc>
      </w:tr>
      <w:tr>
        <w:tc>
          <w:tcPr>
            <w:tcW w:type="dxa" w:w="10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2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Integrabilidade — troca de gateway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ADR-004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Interface GatewayPagamento, PagamentoAdapter</w:t>
            </w:r>
          </w:p>
        </w:tc>
        <w:tc>
          <w:tcPr>
            <w:tcW w:type="dxa" w:w="5600"/>
            <w:shd w:fill="FFFFFF" w:val="clear"/>
            <w:vAlign w:val="center"/>
          </w:tcPr>
          <w:p>
            <w:r>
              <w:rPr>
                <w:sz w:val="18"/>
                <w:szCs w:val="18"/>
              </w:rPr>
              <w:t xml:space="preserve">Trocar implementação do adaptador sem alterar PedidoService</w:t>
            </w:r>
          </w:p>
        </w:tc>
      </w:tr>
    </w:tbl>
    <w:p>
      <w:pPr>
        <w:spacing w:before="480"/>
      </w:pPr>
    </w:p>
    <w:p>
      <w:pPr>
        <w:pStyle w:val="Heading2"/>
        <w:spacing w:after="160" w:before="400"/>
      </w:pPr>
      <w:r>
        <w:t xml:space="preserve">Notas</w:t>
      </w:r>
    </w:p>
    <w:p>
      <w:pPr>
        <w:spacing w:after="100" w:before="200"/>
      </w:pPr>
      <w:r>
        <w:rPr>
          <w:i/>
          <w:iCs/>
          <w:color w:val="444444"/>
          <w:sz w:val="16"/>
          <w:szCs w:val="16"/>
        </w:rPr>
        <w:t xml:space="preserve">Nota 1 — RF11 e RNF06 não possuem ADR dedicada: são cobertos pela configuração de Spring Security e pela máquina de estados. Caso a equipe tome uma decisão explícita (ex.: JWT vs. sessão HTTP), registrar como ADR-006.</w:t>
      </w:r>
    </w:p>
    <w:p>
      <w:pPr>
        <w:spacing w:after="100" w:before="200"/>
      </w:pPr>
      <w:r>
        <w:rPr>
          <w:i/>
          <w:iCs/>
          <w:color w:val="444444"/>
          <w:sz w:val="16"/>
          <w:szCs w:val="16"/>
        </w:rPr>
        <w:t xml:space="preserve">Antes de entregar: substituir os nomes de componentes pelos caminhos reais no repositório (ex.: CatalogoService → src/main/java/.../catalogo/CatalogoService.java) e confirmar que as ADRs referenciadas estão com status Aceito.</w:t>
      </w:r>
    </w:p>
    <w:sectPr>
      <w:pgSz w:w="16838" w:h="11906" w:orient="landscape"/>
      <w:pgMar w:top="720" w:right="719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2026-10-29T01:31:23.909Z</dcterms:created>
  <dcterms:modified xsi:type="dcterms:W3CDTF">2026-10-29T01:31:23.910Z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