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64748B"/>
          <w:spacing w:val="60"/>
          <w:sz w:val="28"/>
          <w:szCs w:val="28"/>
        </w:rPr>
        <w:t xml:space="preserve">GRUPO F8</w:t>
      </w:r>
    </w:p>
    <w:p>
      <w:pPr>
        <w:pBdr>
          <w:bottom w:val="single" w:color="2563EB" w:sz="12" w:space="8"/>
        </w:pBdr>
        <w:spacing w:after="0" w:before="200"/>
        <w:jc w:val="center"/>
      </w:pPr>
    </w:p>
    <w:p>
      <w:pPr>
        <w:spacing w:after="100" w:before="500"/>
        <w:jc w:val="center"/>
      </w:pPr>
      <w:r>
        <w:rPr>
          <w:b/>
          <w:bCs/>
          <w:color w:val="1E293B"/>
          <w:sz w:val="52"/>
          <w:szCs w:val="52"/>
        </w:rPr>
        <w:t xml:space="preserve">Migração do Sistema de</w:t>
      </w:r>
    </w:p>
    <w:p>
      <w:pPr>
        <w:spacing w:after="300"/>
        <w:jc w:val="center"/>
      </w:pPr>
      <w:r>
        <w:rPr>
          <w:b/>
          <w:bCs/>
          <w:color w:val="2563EB"/>
          <w:sz w:val="52"/>
          <w:szCs w:val="52"/>
        </w:rPr>
        <w:t xml:space="preserve">Gestão de Frota</w:t>
      </w:r>
    </w:p>
    <w:p>
      <w:pPr>
        <w:spacing w:after="100"/>
        <w:jc w:val="center"/>
      </w:pPr>
      <w:r>
        <w:rPr>
          <w:i/>
          <w:iCs/>
          <w:color w:val="64748B"/>
          <w:sz w:val="26"/>
          <w:szCs w:val="26"/>
        </w:rPr>
        <w:t xml:space="preserve">Do Base44 (low-code) para infraestrutura própria</w:t>
      </w:r>
    </w:p>
    <w:p>
      <w:pPr>
        <w:spacing w:after="1400"/>
        <w:jc w:val="center"/>
      </w:pPr>
      <w:r>
        <w:rPr>
          <w:color w:val="2563EB"/>
          <w:sz w:val="22"/>
          <w:szCs w:val="22"/>
        </w:rPr>
        <w:t xml:space="preserve">PostgreSQL · FastAPI · Vue 3</w:t>
      </w:r>
    </w:p>
    <w:p>
      <w:pPr>
        <w:jc w:val="center"/>
      </w:pPr>
      <w:r>
        <w:rPr>
          <w:b/>
          <w:bCs/>
          <w:color w:val="1E293B"/>
          <w:sz w:val="24"/>
          <w:szCs w:val="24"/>
        </w:rPr>
        <w:t xml:space="preserve">Documento Técnico-Executivo</w:t>
      </w:r>
    </w:p>
    <w:p>
      <w:pPr>
        <w:jc w:val="center"/>
      </w:pPr>
      <w:r>
        <w:rPr>
          <w:color w:val="64748B"/>
          <w:sz w:val="20"/>
          <w:szCs w:val="20"/>
        </w:rPr>
        <w:t xml:space="preserve">Julho de 2026 · Versão 1.0</w:t>
      </w:r>
    </w:p>
    <w:p>
      <w:r>
        <w:br w:type="page"/>
      </w:r>
    </w:p>
    <w:p>
      <w:pPr>
        <w:spacing w:after="160"/>
      </w:pPr>
      <w:r>
        <w:rPr>
          <w:b/>
          <w:bCs/>
          <w:color w:val="2563EB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1. Sumário Executivo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O sistema de controle de frota do Grupo F8 operava sobre a plataforma low-code Base44 (Backend-as-a-Service), na qual banco de dados, API e autenticação eram fornecidos por terceiros. Este documento apresenta a migração desse sistema para uma infraestrutura própria e aberta, eliminando a dependência de fornecedor (vendor lock-in) e assumindo controle total sobre dados, regras de negócio e operação.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A migração preservou 100% do histórico — 1.875 registros, sem nenhum registro órfão — e mantém os identificadores originais para auditoria. A nova plataforma reproduz todos os módulos funcionais do sistema anterior e já foi validada de ponta a ponta com os dados reais da frota.</w:t>
      </w:r>
    </w:p>
    <w:p>
      <w:pPr>
        <w:spacing w:after="120" w:line="276"/>
      </w:pPr>
      <w:r>
        <w:rPr>
          <w:b/>
          <w:bCs/>
          <w:color w:val="1E293B"/>
          <w:sz w:val="22"/>
          <w:szCs w:val="22"/>
        </w:rPr>
        <w:t xml:space="preserve">Investimento consolidado sob gestão do sistema: R$ 1.217.527,21 em custos de frota rastreados (combustível, manutenção e operacionais), agora sob banco de dados próprio.</w:t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2. Contexto e Motivação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O Base44 acelerou a criação inicial do sistema, mas trouxe limitações estratégicas típicas de plataformas low-code proprietárias: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Vendor lock-in: dados e lógica presos ao formato e à disponibilidade do fornecedor.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Controle limitado sobre o banco de dados e as regras de negócio.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Customização restrita ao que a plataforma permite.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Custo recorrente e dependência da continuidade do serviço de terceiros.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O objetivo da migração é a soberania sobre dados e infraestrutura: poder evoluir o sistema sem restrições, hospedar os dados internamente e eliminar a dependência de um fornecedor externo.</w:t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3. A Solução — Visão Funcional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O sistema controla a operação da frota nos seguintes módulos, todos preservados na nova plataforma: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Veículos e Categorias — cadastro completo da frota (placa, modelo, empresa, rastreador, etc.).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Abastecimentos — lançamento de combustível por veículo, com tipo de custo e quilometragem.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Manutenção — registros preventivos e corretivos, classificados por grupo e tipo de custo.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Custos Operacionais — despesas operacionais diversas, com ou sem vínculo a veículo.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Análises — painéis com gráficos de custo por módulo, evolução mensal e ranking de veículos.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Relatórios — consolidação com filtros e exportação para Excel e PDF.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Usuários e Acesso — autenticação própria com perfis de administrador e usuário.</w:t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4. Arquitetura em Alto Nível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A nova plataforma é organizada em três camadas independentes e substituíveis, comunicando-se por padrões abertos (HTTP/JSON):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1"/>
          <w:insideV w:val="single" w:color="E2E8F0" w:sz="1"/>
        </w:tblBorders>
      </w:tblPr>
      <w:tblGrid>
        <w:gridCol w:w="1900"/>
        <w:gridCol w:w="2900"/>
        <w:gridCol w:w="4226"/>
      </w:tblGrid>
      <w:tr>
        <w:trPr>
          <w:tblHeader/>
        </w:trPr>
        <w:tc>
          <w:tcPr>
            <w:tcW w:type="dxa" w:w="1900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900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6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Vue 3 + TypeScript</w:t>
            </w:r>
          </w:p>
        </w:tc>
        <w:tc>
          <w:tcPr>
            <w:tcW w:type="dxa" w:w="42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Interface do usuário (as telas da frota)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API</w:t>
            </w:r>
          </w:p>
        </w:tc>
        <w:tc>
          <w:tcPr>
            <w:tcW w:type="dxa" w:w="29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226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Regras de negócio e serviços REST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Armazenamento próprio e seguro dos dados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9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JWT + criptografia bcrypt</w:t>
            </w:r>
          </w:p>
        </w:tc>
        <w:tc>
          <w:tcPr>
            <w:tcW w:type="dxa" w:w="4226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Login e perfis de acesso próprios</w:t>
            </w:r>
          </w:p>
        </w:tc>
      </w:tr>
    </w:tbl>
    <w:p>
      <w:pPr>
        <w:spacing w:after="120" w:line="276"/>
      </w:pPr>
      <w:r>
        <w:rPr>
          <w:color w:val="334155"/>
          <w:sz w:val="22"/>
          <w:szCs w:val="22"/>
        </w:rPr>
        <w:t xml:space="preserve"/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Todas são tecnologias abertas, gratuitas e padrão de mercado — o que facilita manutenção, contratação e evolução, sem licenças proprietárias.</w:t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5. Migração de Dados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Todo o histórico do Base44 foi importado para o PostgreSQL por um processo automatizado, repetível e seguro (não duplica dados em reexecuções). Resultado validado: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1"/>
          <w:insideV w:val="single" w:color="E2E8F0" w:sz="1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000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Registros migrados</w:t>
            </w:r>
          </w:p>
        </w:tc>
      </w:tr>
      <w:tr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Veículos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6026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Abastecimentos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1.288</w:t>
            </w:r>
          </w:p>
        </w:tc>
      </w:tr>
      <w:tr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Manutenções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381</w:t>
            </w:r>
          </w:p>
        </w:tc>
      </w:tr>
      <w:tr>
        <w:tc>
          <w:tcPr>
            <w:tcW w:type="dxa" w:w="6026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Custos operacionais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Tabelas de apoio (categorias, tipos, classificações)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dxa" w:w="6026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1.875</w:t>
            </w:r>
          </w:p>
        </w:tc>
      </w:tr>
    </w:tbl>
    <w:p>
      <w:pPr>
        <w:spacing w:after="120" w:line="276"/>
      </w:pPr>
      <w:r>
        <w:rPr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Integridade referencial: 0 (zero) registros órfãos — todo lançamento está corretamente vinculado ao seu veículo.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Rastreabilidade: os identificadores originais do Base44 foram preservados para conferência e auditoria.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Descoberta técnica: a auditoria revelou que o vínculo confiável entre registros é a placa do veículo (100% íntegra), e não o antigo código de categoria (que vinha vazio em 97% dos abastecimentos) — a nova modelagem corrige isso.</w:t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6. Benefícios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Fim do vendor lock-in — o sistema deixa de depender de um fornecedor externo.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Dados 100% próprios, em banco de dados auto-hospedado e sob controle do Grupo F8.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Customização ilimitada das regras de negócio e das telas.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Eliminação do custo recorrente da plataforma low-code.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Stack padrão de mercado — facilita manutenção e contratação de profissionais.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Segurança própria, com autenticação e perfis de acesso controlados internamente.</w:t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7. Status Atual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A migração está funcional de ponta a ponta. Situação por módulo: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1"/>
          <w:insideV w:val="single" w:color="E2E8F0" w:sz="1"/>
        </w:tblBorders>
      </w:tblPr>
      <w:tblGrid>
        <w:gridCol w:w="3626"/>
        <w:gridCol w:w="2700"/>
        <w:gridCol w:w="2700"/>
      </w:tblGrid>
      <w:tr>
        <w:trPr>
          <w:tblHeader/>
        </w:trPr>
        <w:tc>
          <w:tcPr>
            <w:tcW w:type="dxa" w:w="3626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700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Backend (API/Dados)</w:t>
            </w:r>
          </w:p>
        </w:tc>
        <w:tc>
          <w:tcPr>
            <w:tcW w:type="dxa" w:w="2700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Frontend (Telas)</w:t>
            </w:r>
          </w:p>
        </w:tc>
      </w:tr>
      <w:tr>
        <w:tc>
          <w:tcPr>
            <w:tcW w:type="dxa" w:w="36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Autenticação e usuários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26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Veículos e categorias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Abastecimentos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26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Custos operacionais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26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Análises (gráficos)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Relatórios (PDF/Excel)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Concluído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8. Roadmap — Próximos Passos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Homologação com os usuários da operação e ajustes finais de usabilidade.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Ambiente de produção: servidor dedicado, HTTPS, backups automáticos do banco e credenciais de produção.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Melhorias funcionais: upload de anexos (notas fiscais em PDF/imagem) e importação em lote de veículos.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334155"/>
          <w:sz w:val="22"/>
          <w:szCs w:val="22"/>
        </w:rPr>
        <w:t xml:space="preserve">Treinamento da equipe e transição definitiva a partir do Base44.</w:t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9. Riscos e Mitigações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1"/>
          <w:insideV w:val="single" w:color="E2E8F0" w:sz="1"/>
        </w:tblBorders>
      </w:tblPr>
      <w:tblGrid>
        <w:gridCol w:w="3626"/>
        <w:gridCol w:w="5400"/>
      </w:tblGrid>
      <w:tr>
        <w:trPr>
          <w:tblHeader/>
        </w:trPr>
        <w:tc>
          <w:tcPr>
            <w:tcW w:type="dxa" w:w="3626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400"/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6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Manutenção agora é responsabilidade interna (código próprio).</w:t>
            </w:r>
          </w:p>
        </w:tc>
        <w:tc>
          <w:tcPr>
            <w:tcW w:type="dxa" w:w="5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Documentação técnica e arquitetural completa já entregue; stack padrão de mercado.</w:t>
            </w:r>
          </w:p>
        </w:tc>
      </w:tr>
      <w:tr>
        <w:tc>
          <w:tcPr>
            <w:tcW w:type="dxa" w:w="3626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Infraestrutura própria exige backup e disponibilidade.</w:t>
            </w:r>
          </w:p>
        </w:tc>
        <w:tc>
          <w:tcPr>
            <w:tcW w:type="dxa" w:w="54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Rotinas de backup automático e monitoramento no ambiente de produção.</w:t>
            </w:r>
          </w:p>
        </w:tc>
      </w:tr>
      <w:tr>
        <w:tc>
          <w:tcPr>
            <w:tcW w:type="dxa" w:w="36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Dependência de conhecimento específico.</w:t>
            </w:r>
          </w:p>
        </w:tc>
        <w:tc>
          <w:tcPr>
            <w:tcW w:type="dxa" w:w="5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Tecnologias amplamente difundidas (Python, Vue, PostgreSQL) e documentação de apoio.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10. Conclusão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A migração entrega ao Grupo F8 o controle total do seu sistema de gestão de frota: dados próprios, infraestrutura soberana e liberdade para evoluir a solução conforme a necessidade do negócio — sem amarras de fornecedor e sem custo recorrente de plataforma. Com o histórico integralmente preservado e todos os módulos operando na nova base, o sistema está pronto para a fase de homologação e produção.</w:t>
      </w:r>
    </w:p>
    <w:p>
      <w:pPr>
        <w:pBdr>
          <w:top w:val="single" w:color="2563EB" w:sz="8" w:space="8"/>
        </w:pBdr>
        <w:spacing w:before="400"/>
      </w:pPr>
    </w:p>
    <w:p>
      <w:pPr>
        <w:spacing w:after="120" w:line="276"/>
      </w:pPr>
      <w:r>
        <w:rPr>
          <w:i/>
          <w:iCs/>
          <w:color w:val="64748B"/>
          <w:sz w:val="22"/>
          <w:szCs w:val="22"/>
        </w:rPr>
        <w:t xml:space="preserve">Documentação técnica detalhada (arquitetura, API e execução) disponível no repositório do projeto, na pasta docs/.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Migração do Sistema de Gestão de Frota</dc:title>
  <dc:creator>Grupo F8</dc:creator>
  <dc:description>Documento técnico-executivo da migração do Base44 para stack própria</dc:description>
  <cp:lastModifiedBy>Un-named</cp:lastModifiedBy>
  <cp:revision>1</cp:revision>
  <dcterms:created xsi:type="dcterms:W3CDTF">2026-07-17T19:14:51.516Z</dcterms:created>
  <dcterms:modified xsi:type="dcterms:W3CDTF">2026-07-17T19:14:51.517Z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