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1D2C6">
      <w:pPr>
        <w:ind w:left="480"/>
        <w:jc w:val="center"/>
        <w:rPr>
          <w:rFonts w:ascii="宋体" w:hAnsi="宋体"/>
          <w:b/>
          <w:sz w:val="52"/>
          <w:szCs w:val="52"/>
        </w:rPr>
      </w:pPr>
      <w:r>
        <w:rPr>
          <w:rFonts w:hint="eastAsia" w:ascii="宋体" w:hAnsi="宋体"/>
          <w:b/>
          <w:sz w:val="52"/>
          <w:szCs w:val="52"/>
        </w:rPr>
        <w:t>武汉大学</w:t>
      </w:r>
    </w:p>
    <w:p w14:paraId="6CA2A4BD">
      <w:pPr>
        <w:ind w:left="480"/>
        <w:jc w:val="center"/>
        <w:rPr>
          <w:rFonts w:ascii="楷体_GB2312" w:hAnsi="宋体" w:eastAsia="楷体_GB2312"/>
          <w:szCs w:val="21"/>
        </w:rPr>
      </w:pPr>
      <w:r>
        <w:rPr>
          <w:rFonts w:hint="eastAsia" w:ascii="宋体" w:hAnsi="宋体"/>
          <w:b/>
          <w:sz w:val="52"/>
          <w:szCs w:val="52"/>
        </w:rPr>
        <w:t>智能邮件管家系统实验报告</w:t>
      </w:r>
    </w:p>
    <w:p w14:paraId="3696D75A">
      <w:pPr>
        <w:ind w:left="480"/>
        <w:jc w:val="center"/>
        <w:rPr>
          <w:rFonts w:ascii="宋体" w:hAnsi="宋体"/>
          <w:szCs w:val="21"/>
        </w:rPr>
      </w:pPr>
    </w:p>
    <w:p w14:paraId="53D078BA">
      <w:pPr>
        <w:spacing w:line="640" w:lineRule="exact"/>
        <w:jc w:val="center"/>
        <w:rPr>
          <w:rFonts w:ascii="黑体" w:eastAsia="黑体"/>
          <w:b/>
          <w:sz w:val="44"/>
          <w:szCs w:val="44"/>
        </w:rPr>
      </w:pPr>
    </w:p>
    <w:p w14:paraId="7FB45A06">
      <w:pPr>
        <w:jc w:val="center"/>
        <w:rPr>
          <w:rFonts w:ascii="宋体" w:hAnsi="宋体"/>
          <w:szCs w:val="21"/>
        </w:rPr>
      </w:pPr>
    </w:p>
    <w:p w14:paraId="0E7B8ED2">
      <w:pPr>
        <w:ind w:left="480"/>
        <w:jc w:val="center"/>
        <w:rPr>
          <w:rFonts w:ascii="宋体" w:hAnsi="宋体"/>
          <w:szCs w:val="21"/>
        </w:rPr>
      </w:pPr>
    </w:p>
    <w:p w14:paraId="3522C1D7">
      <w:pPr>
        <w:rPr>
          <w:szCs w:val="21"/>
        </w:rPr>
      </w:pPr>
    </w:p>
    <w:p w14:paraId="11732DC0">
      <w:pPr>
        <w:spacing w:line="480" w:lineRule="auto"/>
        <w:ind w:firstLine="1800" w:firstLineChars="600"/>
        <w:rPr>
          <w:rFonts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专 业 名 称   ：计算机科学与技术</w:t>
      </w:r>
    </w:p>
    <w:p w14:paraId="0AAECDA9">
      <w:pPr>
        <w:spacing w:line="480" w:lineRule="auto"/>
        <w:ind w:firstLine="1800" w:firstLineChars="600"/>
        <w:rPr>
          <w:rFonts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课 程 名 称   ：计算机综合项目实践</w:t>
      </w:r>
    </w:p>
    <w:p w14:paraId="6F1474A1">
      <w:pPr>
        <w:spacing w:line="480" w:lineRule="auto"/>
        <w:ind w:firstLine="1800" w:firstLineChars="600"/>
        <w:rPr>
          <w:rFonts w:ascii="宋体" w:hAnsi="宋体"/>
          <w:sz w:val="24"/>
        </w:rPr>
      </w:pPr>
      <w:r>
        <w:rPr>
          <w:rFonts w:hint="eastAsia" w:ascii="宋体" w:hAnsi="宋体"/>
          <w:sz w:val="30"/>
          <w:szCs w:val="30"/>
        </w:rPr>
        <w:t>指 导 教 师 一：</w:t>
      </w:r>
    </w:p>
    <w:p w14:paraId="54738A5D">
      <w:pPr>
        <w:spacing w:line="480" w:lineRule="auto"/>
        <w:ind w:firstLine="1800" w:firstLineChars="600"/>
        <w:rPr>
          <w:rFonts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学 生 学 号   ：</w:t>
      </w:r>
    </w:p>
    <w:p w14:paraId="6F8FF49D">
      <w:pPr>
        <w:spacing w:line="480" w:lineRule="auto"/>
        <w:ind w:firstLine="1800" w:firstLineChars="600"/>
        <w:rPr>
          <w:rFonts w:ascii="宋体" w:hAnsi="宋体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学 生 姓 名   ：董一鸣</w:t>
      </w:r>
      <w:r>
        <w:rPr>
          <w:rFonts w:ascii="宋体" w:hAnsi="宋体"/>
          <w:sz w:val="30"/>
          <w:szCs w:val="30"/>
        </w:rPr>
      </w:r>
    </w:p>
    <w:p w14:paraId="00A81B48">
      <w:pPr>
        <w:spacing w:line="480" w:lineRule="auto"/>
        <w:ind w:left="481" w:leftChars="229" w:firstLine="2880" w:firstLineChars="1200"/>
        <w:rPr>
          <w:sz w:val="24"/>
        </w:rPr>
      </w:pPr>
      <w:r>
        <w:rPr>
          <w:rFonts w:hint="eastAsia"/>
          <w:sz w:val="24"/>
        </w:rPr>
        <w:t xml:space="preserve">          </w:t>
      </w:r>
    </w:p>
    <w:p w14:paraId="34BD2DCD">
      <w:pPr>
        <w:ind w:left="480"/>
        <w:jc w:val="center"/>
        <w:rPr>
          <w:szCs w:val="21"/>
        </w:rPr>
      </w:pPr>
    </w:p>
    <w:p w14:paraId="38C12C87">
      <w:pPr>
        <w:ind w:left="48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</w:p>
    <w:p w14:paraId="5CC068E6">
      <w:pPr>
        <w:ind w:left="480"/>
        <w:jc w:val="center"/>
        <w:rPr>
          <w:sz w:val="28"/>
          <w:szCs w:val="28"/>
        </w:rPr>
      </w:pPr>
    </w:p>
    <w:p w14:paraId="7A067F88">
      <w:pPr>
        <w:ind w:left="480"/>
        <w:jc w:val="center"/>
        <w:rPr>
          <w:sz w:val="28"/>
          <w:szCs w:val="28"/>
        </w:rPr>
      </w:pPr>
    </w:p>
    <w:p w14:paraId="5892DFD9">
      <w:pPr>
        <w:ind w:left="480"/>
        <w:jc w:val="center"/>
        <w:rPr>
          <w:rFonts w:ascii="宋体" w:hAnsi="宋体"/>
          <w:sz w:val="36"/>
          <w:szCs w:val="36"/>
        </w:rPr>
      </w:pPr>
      <w:r>
        <w:rPr>
          <w:rFonts w:hint="eastAsia"/>
          <w:sz w:val="28"/>
          <w:szCs w:val="28"/>
        </w:rPr>
        <w:t>二○二六年六月</w:t>
      </w:r>
      <w:r>
        <w:rPr>
          <w:rFonts w:hint="eastAsia" w:ascii="宋体" w:hAnsi="宋体"/>
          <w:sz w:val="36"/>
          <w:szCs w:val="36"/>
        </w:rPr>
      </w:r>
      <w:r>
        <w:rPr>
          <w:rFonts w:hint="eastAsia" w:ascii="宋体" w:hAnsi="宋体"/>
          <w:sz w:val="36"/>
          <w:szCs w:val="36"/>
          <w:lang w:eastAsia="zh-CN"/>
        </w:rPr>
      </w:r>
      <w:r>
        <w:rPr>
          <w:rFonts w:hint="eastAsia" w:ascii="宋体" w:hAnsi="宋体"/>
          <w:sz w:val="36"/>
          <w:szCs w:val="36"/>
        </w:rPr>
      </w:r>
      <w:r>
        <w:rPr>
          <w:rFonts w:hint="eastAsia" w:ascii="宋体" w:hAnsi="宋体"/>
          <w:sz w:val="36"/>
          <w:szCs w:val="36"/>
          <w:lang w:eastAsia="zh-CN"/>
        </w:rPr>
      </w:r>
      <w:r>
        <w:rPr>
          <w:rFonts w:hint="eastAsia" w:ascii="宋体" w:hAnsi="宋体"/>
          <w:sz w:val="36"/>
          <w:szCs w:val="36"/>
        </w:rPr>
      </w:r>
    </w:p>
    <w:p w14:paraId="13366524">
      <w:pPr>
        <w:spacing w:line="460" w:lineRule="exact"/>
        <w:rPr>
          <w:rFonts w:ascii="宋体" w:hAnsi="宋体"/>
          <w:szCs w:val="21"/>
        </w:rPr>
      </w:pPr>
      <w:r>
        <w:rPr>
          <w:sz w:val="24"/>
        </w:rPr>
        <w:br w:type="page"/>
      </w:r>
      <w:r>
        <w:rPr>
          <w:rFonts w:hint="eastAsia" w:ascii="宋体" w:hAnsi="宋体"/>
          <w:szCs w:val="21"/>
        </w:rPr>
        <w:t xml:space="preserve"> </w:t>
      </w:r>
    </w:p>
    <w:p w14:paraId="28D2E38E">
      <w:pPr>
        <w:spacing w:line="440" w:lineRule="exact"/>
        <w:ind w:firstLine="3092" w:firstLineChars="700"/>
        <w:rPr>
          <w:rFonts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郑 重 声 明</w:t>
      </w:r>
    </w:p>
    <w:p w14:paraId="103CD1BD">
      <w:pPr>
        <w:spacing w:line="460" w:lineRule="exact"/>
        <w:ind w:firstLine="560" w:firstLineChars="200"/>
        <w:jc w:val="lef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本人呈交的设计报告，是在指导老师的指导下，独立进行实验工作所取得的成果，所有数据、图片资料真实可靠。尽我所知，除文中已经注明引用的内容外，本设计报告不包含他人享有著作权的内容。对本设计报告做出贡献的其他个人和集体，均已在文中以明确的方式标明。本设计报告的知识产权归属于培养单位。</w:t>
      </w:r>
    </w:p>
    <w:p w14:paraId="23A58601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20128CB6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02ACEC60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3EF4D293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6A4F8C64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3DDBC0C0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32AAB21C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11E6D4BE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39E7957A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2BC555CA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55922457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3C94F60F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41DA43AF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1A830FD8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733D5979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41766FD5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449B6421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49ABC1E4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1B72200D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4E8A330E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67AA7FA5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513F37FB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本人签名：                     日期：2026年6月6日</w:t>
      </w:r>
      <w:r>
        <w:rPr>
          <w:rFonts w:hint="eastAsia" w:ascii="宋体" w:hAnsi="宋体"/>
          <w:sz w:val="28"/>
          <w:szCs w:val="28"/>
          <w:u w:val="single"/>
        </w:rPr>
      </w:r>
      <w:r>
        <w:rPr>
          <w:rFonts w:hint="eastAsia" w:ascii="宋体" w:hAnsi="宋体"/>
          <w:sz w:val="28"/>
          <w:szCs w:val="28"/>
        </w:rPr>
      </w:r>
      <w:r>
        <w:rPr>
          <w:rFonts w:hint="eastAsia" w:ascii="宋体" w:hAnsi="宋体"/>
          <w:sz w:val="28"/>
          <w:szCs w:val="28"/>
          <w:u w:val="single"/>
        </w:rPr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</w:r>
      <w:r>
        <w:rPr>
          <w:rFonts w:hint="eastAsia" w:ascii="宋体" w:hAnsi="宋体"/>
          <w:sz w:val="28"/>
          <w:szCs w:val="28"/>
          <w:u w:val="single"/>
        </w:rPr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</w:r>
      <w:r>
        <w:rPr>
          <w:rFonts w:hint="eastAsia" w:ascii="宋体" w:hAnsi="宋体"/>
          <w:sz w:val="28"/>
          <w:szCs w:val="28"/>
          <w:u w:val="single"/>
        </w:rPr>
      </w:r>
    </w:p>
    <w:p w14:paraId="01537C38"/>
    <w:p w14:paraId="7AD11043">
      <w:pPr>
        <w:rPr>
          <w:sz w:val="24"/>
        </w:rPr>
      </w:pPr>
    </w:p>
    <w:p w14:paraId="4169C2B7">
      <w:pPr>
        <w:rPr>
          <w:sz w:val="24"/>
        </w:rPr>
      </w:pPr>
    </w:p>
    <w:sdt>
      <w:sdtPr>
        <w:rPr>
          <w:rFonts w:ascii="Times New Roman" w:hAnsi="Times New Roman" w:eastAsia="宋体" w:cs="Times New Roman"/>
          <w:color w:val="auto"/>
          <w:kern w:val="2"/>
          <w:sz w:val="21"/>
          <w:szCs w:val="24"/>
          <w:lang w:val="zh-CN"/>
        </w:rPr>
        <w:id w:val="-1560557816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bCs/>
          <w:color w:val="auto"/>
          <w:kern w:val="2"/>
          <w:sz w:val="21"/>
          <w:szCs w:val="24"/>
          <w:lang w:val="zh-CN"/>
        </w:rPr>
      </w:sdtEndPr>
      <w:sdtContent>
        <w:p w14:paraId="3A070D91">
          <w:pPr>
            <w:pStyle w:val="17"/>
            <w:jc w:val="center"/>
          </w:pPr>
          <w:r>
            <w:rPr>
              <w:lang w:val="zh-CN"/>
            </w:rPr>
            <w:t>目录</w:t>
          </w:r>
        </w:p>
        <w:p w14:paraId="45DE7375">
          <w:pPr>
            <w:pStyle w:val="7"/>
            <w:tabs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"_Toc171931595" </w:instrText>
          </w:r>
          <w:r>
            <w:fldChar w:fldCharType="separate"/>
          </w:r>
          <w:r>
            <w:rPr>
              <w:rStyle w:val="12"/>
            </w:rPr>
            <w:t>摘  要</w:t>
          </w:r>
          <w:r>
            <w:tab/>
          </w:r>
          <w:r>
            <w:fldChar w:fldCharType="begin"/>
          </w:r>
          <w:r>
            <w:instrText xml:space="preserve"> PAGEREF _Toc171931595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200363C">
          <w:pPr>
            <w:pStyle w:val="7"/>
            <w:tabs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"_Toc171931596" </w:instrText>
          </w:r>
          <w:r>
            <w:fldChar w:fldCharType="separate"/>
          </w:r>
          <w:r>
            <w:rPr>
              <w:rStyle w:val="12"/>
            </w:rPr>
            <w:t>第1章</w:t>
          </w:r>
          <w:r>
            <w:rPr>
              <w:rStyle w:val="12"/>
              <w:rFonts w:hAnsi="宋体"/>
            </w:rPr>
            <w:t xml:space="preserve"> 概述</w:t>
          </w:r>
          <w:r>
            <w:tab/>
          </w:r>
          <w:r>
            <w:fldChar w:fldCharType="begin"/>
          </w:r>
          <w:r>
            <w:instrText xml:space="preserve"> PAGEREF _Toc171931596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D2D5065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"_Toc171931597" </w:instrText>
          </w:r>
          <w:r>
            <w:fldChar w:fldCharType="separate"/>
          </w:r>
          <w:r>
            <w:rPr>
              <w:rStyle w:val="12"/>
            </w:rPr>
            <w:t>1.1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选题</w:t>
          </w:r>
          <w:r>
            <w:tab/>
          </w:r>
          <w:r>
            <w:fldChar w:fldCharType="begin"/>
          </w:r>
          <w:r>
            <w:instrText xml:space="preserve"> PAGEREF _Toc171931597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E72202A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"_Toc171931598" </w:instrText>
          </w:r>
          <w:r>
            <w:fldChar w:fldCharType="separate"/>
          </w:r>
          <w:r>
            <w:rPr>
              <w:rStyle w:val="12"/>
            </w:rPr>
            <w:t>1.2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分组及分工</w:t>
          </w:r>
          <w:r>
            <w:tab/>
          </w:r>
          <w:r>
            <w:fldChar w:fldCharType="begin"/>
          </w:r>
          <w:r>
            <w:instrText xml:space="preserve"> PAGEREF _Toc171931598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B48C432">
          <w:pPr>
            <w:pStyle w:val="7"/>
            <w:tabs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"_Toc171931599" </w:instrText>
          </w:r>
          <w:r>
            <w:fldChar w:fldCharType="separate"/>
          </w:r>
          <w:r>
            <w:rPr>
              <w:rStyle w:val="12"/>
            </w:rPr>
            <w:t>第2章 系统需求分析</w:t>
          </w:r>
          <w:r>
            <w:tab/>
          </w:r>
          <w:r>
            <w:fldChar w:fldCharType="begin"/>
          </w:r>
          <w:r>
            <w:instrText xml:space="preserve"> PAGEREF _Toc171931599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19BA34E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"_Toc171931600" </w:instrText>
          </w:r>
          <w:r>
            <w:fldChar w:fldCharType="separate"/>
          </w:r>
          <w:r>
            <w:rPr>
              <w:rStyle w:val="12"/>
            </w:rPr>
            <w:t>2.1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_Toc171931600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AD4CBF7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"_Toc171931601" </w:instrText>
          </w:r>
          <w:r>
            <w:fldChar w:fldCharType="separate"/>
          </w:r>
          <w:r>
            <w:rPr>
              <w:rStyle w:val="12"/>
            </w:rPr>
            <w:t>2.2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功能需求</w:t>
          </w:r>
          <w:r>
            <w:tab/>
          </w:r>
          <w:r>
            <w:fldChar w:fldCharType="begin"/>
          </w:r>
          <w:r>
            <w:instrText xml:space="preserve"> PAGEREF _Toc171931601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0A19A66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"_Toc171931602" </w:instrText>
          </w:r>
          <w:r>
            <w:fldChar w:fldCharType="separate"/>
          </w:r>
          <w:r>
            <w:rPr>
              <w:rStyle w:val="12"/>
            </w:rPr>
            <w:t>2.3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非功能需求</w:t>
          </w:r>
          <w:r>
            <w:tab/>
          </w:r>
          <w:r>
            <w:fldChar w:fldCharType="begin"/>
          </w:r>
          <w:r>
            <w:instrText xml:space="preserve"> PAGEREF _Toc171931602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2AD0277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"_Toc171931603" </w:instrText>
          </w:r>
          <w:r>
            <w:fldChar w:fldCharType="separate"/>
          </w:r>
          <w:r>
            <w:rPr>
              <w:rStyle w:val="12"/>
            </w:rPr>
            <w:t>2.4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技术选型</w:t>
          </w:r>
          <w:r>
            <w:tab/>
          </w:r>
          <w:r>
            <w:fldChar w:fldCharType="begin"/>
          </w:r>
          <w:r>
            <w:instrText xml:space="preserve"> PAGEREF _Toc171931603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24446AE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"_Toc171931604" </w:instrText>
          </w:r>
          <w:r>
            <w:fldChar w:fldCharType="separate"/>
          </w:r>
          <w:r>
            <w:rPr>
              <w:rStyle w:val="12"/>
            </w:rPr>
            <w:t>2.5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其他要求</w:t>
          </w:r>
          <w:r>
            <w:tab/>
          </w:r>
          <w:r>
            <w:fldChar w:fldCharType="begin"/>
          </w:r>
          <w:r>
            <w:instrText xml:space="preserve"> PAGEREF _Toc171931604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0584492">
          <w:pPr>
            <w:pStyle w:val="7"/>
            <w:tabs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"_Toc171931605" </w:instrText>
          </w:r>
          <w:r>
            <w:fldChar w:fldCharType="separate"/>
          </w:r>
          <w:r>
            <w:rPr>
              <w:rStyle w:val="12"/>
            </w:rPr>
            <w:t>第3章 系统设计</w:t>
          </w:r>
          <w:r>
            <w:tab/>
          </w:r>
          <w:r>
            <w:fldChar w:fldCharType="begin"/>
          </w:r>
          <w:r>
            <w:instrText xml:space="preserve"> PAGEREF _Toc171931605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54B7A31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"_Toc171931606" </w:instrText>
          </w:r>
          <w:r>
            <w:fldChar w:fldCharType="separate"/>
          </w:r>
          <w:r>
            <w:rPr>
              <w:rStyle w:val="12"/>
            </w:rPr>
            <w:t>3.1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_Toc171931606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B9B8BE2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"_Toc171931607" </w:instrText>
          </w:r>
          <w:r>
            <w:fldChar w:fldCharType="separate"/>
          </w:r>
          <w:r>
            <w:rPr>
              <w:rStyle w:val="12"/>
            </w:rPr>
            <w:t>3.2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系统功能设计</w:t>
          </w:r>
          <w:r>
            <w:tab/>
          </w:r>
          <w:r>
            <w:fldChar w:fldCharType="begin"/>
          </w:r>
          <w:r>
            <w:instrText xml:space="preserve"> PAGEREF _Toc171931607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9522E07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"_Toc171931608" </w:instrText>
          </w:r>
          <w:r>
            <w:fldChar w:fldCharType="separate"/>
          </w:r>
          <w:r>
            <w:rPr>
              <w:rStyle w:val="12"/>
            </w:rPr>
            <w:t>3.3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系统UI设计</w:t>
          </w:r>
          <w:r>
            <w:tab/>
          </w:r>
          <w:r>
            <w:fldChar w:fldCharType="begin"/>
          </w:r>
          <w:r>
            <w:instrText xml:space="preserve"> PAGEREF _Toc171931608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0BC7C9D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"_Toc171931609" </w:instrText>
          </w:r>
          <w:r>
            <w:fldChar w:fldCharType="separate"/>
          </w:r>
          <w:r>
            <w:rPr>
              <w:rStyle w:val="12"/>
            </w:rPr>
            <w:t>3.4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系统详细设计</w:t>
          </w:r>
          <w:r>
            <w:tab/>
          </w:r>
          <w:r>
            <w:fldChar w:fldCharType="begin"/>
          </w:r>
          <w:r>
            <w:instrText xml:space="preserve"> PAGEREF _Toc171931609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A05641B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"_Toc171931610" </w:instrText>
          </w:r>
          <w:r>
            <w:fldChar w:fldCharType="separate"/>
          </w:r>
          <w:r>
            <w:rPr>
              <w:rStyle w:val="12"/>
            </w:rPr>
            <w:t>3.5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数据库设计（若用到数据库）</w:t>
          </w:r>
          <w:r>
            <w:tab/>
          </w:r>
          <w:r>
            <w:fldChar w:fldCharType="begin"/>
          </w:r>
          <w:r>
            <w:instrText xml:space="preserve"> PAGEREF _Toc171931610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BDE4E2D">
          <w:pPr>
            <w:pStyle w:val="7"/>
            <w:tabs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"_Toc171931611" </w:instrText>
          </w:r>
          <w:r>
            <w:fldChar w:fldCharType="separate"/>
          </w:r>
          <w:r>
            <w:rPr>
              <w:rStyle w:val="12"/>
            </w:rPr>
            <w:t>第4章 系统实现</w:t>
          </w:r>
          <w:r>
            <w:tab/>
          </w:r>
          <w:r>
            <w:fldChar w:fldCharType="begin"/>
          </w:r>
          <w:r>
            <w:instrText xml:space="preserve"> PAGEREF _Toc171931611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A6A038B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"_Toc171931612" </w:instrText>
          </w:r>
          <w:r>
            <w:fldChar w:fldCharType="separate"/>
          </w:r>
          <w:r>
            <w:rPr>
              <w:rStyle w:val="12"/>
            </w:rPr>
            <w:t>4.1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_Toc171931612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016B440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"_Toc171931613" </w:instrText>
          </w:r>
          <w:r>
            <w:fldChar w:fldCharType="separate"/>
          </w:r>
          <w:r>
            <w:rPr>
              <w:rStyle w:val="12"/>
            </w:rPr>
            <w:t>4.2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系统典型界面</w:t>
          </w:r>
          <w:r>
            <w:tab/>
          </w:r>
          <w:r>
            <w:fldChar w:fldCharType="begin"/>
          </w:r>
          <w:r>
            <w:instrText xml:space="preserve"> PAGEREF _Toc171931613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20DE367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"_Toc171931614" </w:instrText>
          </w:r>
          <w:r>
            <w:fldChar w:fldCharType="separate"/>
          </w:r>
          <w:r>
            <w:rPr>
              <w:rStyle w:val="12"/>
            </w:rPr>
            <w:t>4.3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测试计划</w:t>
          </w:r>
          <w:r>
            <w:tab/>
          </w:r>
          <w:r>
            <w:fldChar w:fldCharType="begin"/>
          </w:r>
          <w:r>
            <w:instrText xml:space="preserve"> PAGEREF _Toc171931614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9D9AC54">
          <w:pPr>
            <w:pStyle w:val="8"/>
            <w:tabs>
              <w:tab w:val="left" w:pos="840"/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"_Toc171931615" </w:instrText>
          </w:r>
          <w:r>
            <w:fldChar w:fldCharType="separate"/>
          </w:r>
          <w:r>
            <w:rPr>
              <w:rStyle w:val="12"/>
            </w:rPr>
            <w:t>4.4</w:t>
          </w:r>
          <w:r>
            <w:rPr>
              <w:rFonts w:cstheme="minorBidi"/>
              <w:kern w:val="2"/>
              <w:sz w:val="21"/>
            </w:rPr>
            <w:tab/>
          </w:r>
          <w:r>
            <w:rPr>
              <w:rStyle w:val="12"/>
            </w:rPr>
            <w:t>测试报告</w:t>
          </w:r>
          <w:r>
            <w:tab/>
          </w:r>
          <w:r>
            <w:fldChar w:fldCharType="begin"/>
          </w:r>
          <w:r>
            <w:instrText xml:space="preserve"> PAGEREF _Toc171931615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EB4D80D">
          <w:pPr>
            <w:pStyle w:val="7"/>
            <w:tabs>
              <w:tab w:val="right" w:leader="dot" w:pos="8296"/>
            </w:tabs>
            <w:rPr>
              <w:rFonts w:cstheme="minorBidi"/>
              <w:kern w:val="2"/>
              <w:sz w:val="21"/>
            </w:rPr>
          </w:pPr>
          <w:r>
            <w:fldChar w:fldCharType="begin"/>
          </w:r>
          <w:r>
            <w:instrText xml:space="preserve"> HYPERLINK \l "_Toc171931616" </w:instrText>
          </w:r>
          <w:r>
            <w:fldChar w:fldCharType="separate"/>
          </w:r>
          <w:r>
            <w:rPr>
              <w:rStyle w:val="12"/>
            </w:rPr>
            <w:t>第5章 总结</w:t>
          </w:r>
          <w:r>
            <w:tab/>
          </w:r>
          <w:r>
            <w:fldChar w:fldCharType="begin"/>
          </w:r>
          <w:r>
            <w:instrText xml:space="preserve"> PAGEREF _Toc171931616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BA049EB">
          <w:r>
            <w:rPr>
              <w:b/>
              <w:bCs/>
              <w:lang w:val="zh-CN"/>
            </w:rPr>
            <w:fldChar w:fldCharType="end"/>
          </w:r>
        </w:p>
      </w:sdtContent>
    </w:sdt>
    <w:p>
      <w:r>
        <w:br w:type="page"/>
      </w:r>
    </w:p>
    <w:p>
      <w:pPr>
        <w:pStyle w:val="2"/>
        <w:jc w:val="center"/>
      </w:pPr>
      <w:r>
        <w:rPr>
          <w:rFonts w:ascii="Times New Roman" w:hAnsi="Times New Roman" w:eastAsia="黑体" w:cs="Times New Roman"/>
          <w:b/>
          <w:sz w:val="44"/>
        </w:rPr>
        <w:t>摘  要</w:t>
      </w:r>
    </w:p>
    <w:p>
      <w:pPr>
        <w:spacing w:line="360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本报告聚焦于小组项目“EmailClaw 智能邮件管家系统”中本人承担的工作部分——飞书机器人前端服务与大模型参数调优。EmailClaw 是一套面向多用户的智能邮件处理系统，通过 IMAP 实时监听邮箱、自动完成邮件分类、重要性评分与摘要，并将结果以交互式卡片推送到飞书供用户处理。其中后端核心服务与 OpenClaw 接入由另一名同学负责，本人则负责面向用户的飞书交互入口与决定分析效果的大模型 Prompt 与参数调优。</w:t>
      </w:r>
    </w:p>
    <w:p>
      <w:pPr>
        <w:spacing w:line="360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本人完成的具体工作包括：基于飞书开放平台 Node SDK 搭建飞书机器人服务，通过 WebSocket 长连接接收卡片按钮事件并提供 HTTP 接口接收后端推送；设计并实现邮件通知卡片、邮件详情卡片与分类选择卡片三类交互式卡片，包括按分类着色、重要邮件高亮、星级重要性、状态展示与三行共八个操作按钮；针对飞书卡片回调的 3 秒超时限制，设计了“先返回 toast、再异步刷新卡片”的交互模式，打通了卡片状态刷新与详情展示的完整闭环。</w:t>
      </w:r>
    </w:p>
    <w:p>
      <w:pPr>
        <w:spacing w:line="360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在模型参数调优方面，本人负责 OpenClaw + DeepSeek 大模型分析的 Prompt 设计与参数调优：通过强约束的结构化提示词、明确的输出 JSON 字段规范、正文截断与转义要求等手段，配合模型选型与超时参数的调整，显著降低了分类退化为“其他”、重要性退化为默认值与输出非法 JSON 的概率，使大模型在分类、重要性与摘要三项任务上的输出质量与稳定性达到可用水平。经端到端联调，本人负责的前端卡片交互与模型分析效果均达到了预期。</w:t>
      </w:r>
    </w:p>
    <w:p>
      <w:pPr>
        <w:spacing w:line="360" w:lineRule="auto" w:after="6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关键词：飞书机器人；交互式卡片；卡片刷新；WebSocket；Prompt 设计；DeepSeek；参数调优</w:t>
      </w:r>
    </w:p>
    <w:p>
      <w:r>
        <w:br w:type="page"/>
      </w:r>
    </w:p>
    <w:p>
      <w:pPr>
        <w:pStyle w:val="2"/>
        <w:jc w:val="center"/>
      </w:pPr>
      <w:r>
        <w:rPr>
          <w:rFonts w:ascii="Times New Roman" w:hAnsi="Times New Roman" w:eastAsia="黑体" w:cs="Times New Roman"/>
          <w:b/>
          <w:sz w:val="44"/>
        </w:rPr>
        <w:t>第1章 概述</w:t>
      </w:r>
    </w:p>
    <w:p>
      <w:pPr>
        <w:pStyle w:val="3"/>
      </w:pPr>
      <w:r>
        <w:rPr>
          <w:rFonts w:ascii="Times New Roman" w:hAnsi="Times New Roman" w:eastAsia="黑体" w:cs="Times New Roman"/>
          <w:b/>
          <w:sz w:val="32"/>
        </w:rPr>
        <w:t>1.1 选题</w:t>
      </w:r>
    </w:p>
    <w:p>
      <w:pPr>
        <w:spacing w:line="360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电子邮件是工作与学习中最重要的异步通信工具之一，但邮件数量的爆炸式增长带来了严重的信息过载：用户每天面对数十乃至上百封混杂着工作通知、营销推广与垃圾邮件的内容，难以快速识别真正重要的邮件，也难以从冗长正文中迅速抓取要点。传统邮件客户端只提供收发与归档，缺乏对内容的语义理解、优先级判断与主动提醒能力。</w:t>
      </w:r>
    </w:p>
    <w:p>
      <w:pPr>
        <w:spacing w:line="360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针对上述痛点，本小组选定并实现了智能邮件管家系统 EmailClaw：作为智能中间层实时监听邮箱，借助规则与 AI 能力对每封新邮件自动完成分类、重要性评分与摘要，将重要邮件以交互式卡片主动推送给用户，用户在常用的即时通讯工具（飞书）中即可完成对邮件的常见处理，且操作会真实同步回邮箱。</w:t>
      </w:r>
    </w:p>
    <w:p>
      <w:pPr>
        <w:spacing w:line="360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本人在该项目中负责飞书机器人前端服务与大模型参数调优。前端是用户与系统交互的唯一入口，直接决定产品体验；模型调优则直接决定分类、重要性与摘要的分析质量。这两部分一个面向“好不好用”，一个面向“准不准”，是系统价值能否被用户感知到的关键，本报告即围绕这部分内容展开。</w:t>
      </w:r>
    </w:p>
    <w:p>
      <w:pPr>
        <w:pStyle w:val="3"/>
      </w:pPr>
      <w:r>
        <w:rPr>
          <w:rFonts w:ascii="Times New Roman" w:hAnsi="Times New Roman" w:eastAsia="黑体" w:cs="Times New Roman"/>
          <w:b/>
          <w:sz w:val="32"/>
        </w:rPr>
        <w:t>1.2 个人分工与职责</w:t>
      </w:r>
    </w:p>
    <w:p>
      <w:pPr>
        <w:spacing w:line="360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项目由两名同学协作完成，分工如下表。本报告聚焦本人承担的飞书前端与模型调优部分，对另一名同学负责的后端服务与 OpenClaw 工程接入仅在涉及协作边界时简要提及。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769"/>
        <w:gridCol w:w="2769"/>
        <w:gridCol w:w="2769"/>
      </w:tblGrid>
      <w:tr>
        <w:tc>
          <w:tcPr>
            <w:tcW w:type="dxa" w:w="1600"/>
            <w:shd w:val="clear" w:color="auto" w:fill="D9E2F3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0"/>
              </w:rPr>
              <w:t>成员</w:t>
            </w:r>
          </w:p>
        </w:tc>
        <w:tc>
          <w:tcPr>
            <w:tcW w:type="dxa" w:w="2600"/>
            <w:shd w:val="clear" w:color="auto" w:fill="D9E2F3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0"/>
              </w:rPr>
              <w:t>承担模块</w:t>
            </w:r>
          </w:p>
        </w:tc>
        <w:tc>
          <w:tcPr>
            <w:tcW w:type="dxa" w:w="5900"/>
            <w:shd w:val="clear" w:color="auto" w:fill="D9E2F3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0"/>
              </w:rPr>
              <w:t>本报告范围</w:t>
            </w:r>
          </w:p>
        </w:tc>
      </w:tr>
      <w:tr>
        <w:tc>
          <w:tcPr>
            <w:tcW w:type="dxa" w:w="16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董一鸣（本人）</w:t>
            </w:r>
          </w:p>
        </w:tc>
        <w:tc>
          <w:tcPr>
            <w:tcW w:type="dxa" w:w="26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飞书前端服务与模型参数调优</w:t>
            </w:r>
          </w:p>
        </w:tc>
        <w:tc>
          <w:tcPr>
            <w:tcW w:type="dxa" w:w="59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本报告主体：飞书机器人服务、三类交互式卡片、卡片刷新交互闭环、大模型 Prompt 设计与参数调优、效果评估</w:t>
            </w:r>
          </w:p>
        </w:tc>
      </w:tr>
      <w:tr>
        <w:tc>
          <w:tcPr>
            <w:tcW w:type="dxa" w:w="16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吕玥</w:t>
            </w:r>
          </w:p>
        </w:tc>
        <w:tc>
          <w:tcPr>
            <w:tcW w:type="dxa" w:w="26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后端服务与 OpenClaw 接入</w:t>
            </w:r>
          </w:p>
        </w:tc>
        <w:tc>
          <w:tcPr>
            <w:tcW w:type="dxa" w:w="59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20"/>
              </w:rPr>
              <w:t>协作边界：后端推送邮件分析数据、接收并执行卡片按钮事件、提供 OpenClaw 子进程工程接入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2"/>
        <w:jc w:val="center"/>
      </w:pPr>
      <w:r>
        <w:rPr>
          <w:rFonts w:ascii="Times New Roman" w:hAnsi="Times New Roman" w:eastAsia="黑体" w:cs="Times New Roman"/>
          <w:b/>
          <w:sz w:val="44"/>
        </w:rPr>
        <w:t>第2章 系统需求分析</w:t>
      </w:r>
    </w:p>
    <w:p>
      <w:pPr>
        <w:pStyle w:val="3"/>
      </w:pPr>
      <w:r>
        <w:rPr>
          <w:rFonts w:ascii="Times New Roman" w:hAnsi="Times New Roman" w:eastAsia="黑体" w:cs="Times New Roman"/>
          <w:b/>
          <w:sz w:val="32"/>
        </w:rPr>
        <w:t>2.1 引言</w:t>
      </w:r>
    </w:p>
    <w:p>
      <w:pPr>
        <w:spacing w:line="360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本章从本人负责模块的角度分析需求。整个系统的功能需求编号为 FR-1 至 FR-7，其中飞书前端服务直接支撑 FR-3（重要邮件展示与高亮）、FR-4（摘要展示）、FR-5（用户交互与反馈）；模型参数调优则直接服务于 FR-2（分类质量）、FR-3（重要性合理性）、FR-4（摘要凝练度）。需要说明的是，项目在实现中将交互渠道由早期规划的 Telegram 调整为卡片交互能力更强的飞书（Lark），下文均以实际实现为准。</w:t>
      </w:r>
    </w:p>
    <w:p>
      <w:pPr>
        <w:pStyle w:val="3"/>
      </w:pPr>
      <w:r>
        <w:rPr>
          <w:rFonts w:ascii="Times New Roman" w:hAnsi="Times New Roman" w:eastAsia="黑体" w:cs="Times New Roman"/>
          <w:b/>
          <w:sz w:val="32"/>
        </w:rPr>
        <w:t>2.2 功能需求</w:t>
      </w:r>
    </w:p>
    <w:p>
      <w:pPr>
        <w:spacing w:line="360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本人负责的飞书前端与模型调优需满足的功能需求如下表所示，其余服务端逻辑由后端承担。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076"/>
        <w:gridCol w:w="2076"/>
        <w:gridCol w:w="2076"/>
        <w:gridCol w:w="2076"/>
      </w:tblGrid>
      <w:tr>
        <w:tc>
          <w:tcPr>
            <w:tcW w:type="dxa" w:w="800"/>
            <w:shd w:val="clear" w:color="auto" w:fill="D9E2F3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编号</w:t>
            </w:r>
          </w:p>
        </w:tc>
        <w:tc>
          <w:tcPr>
            <w:tcW w:type="dxa" w:w="3000"/>
            <w:shd w:val="clear" w:color="auto" w:fill="D9E2F3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需求</w:t>
            </w:r>
          </w:p>
        </w:tc>
        <w:tc>
          <w:tcPr>
            <w:tcW w:type="dxa" w:w="5400"/>
            <w:shd w:val="clear" w:color="auto" w:fill="D9E2F3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本人职责</w:t>
            </w:r>
          </w:p>
        </w:tc>
        <w:tc>
          <w:tcPr>
            <w:tcW w:type="dxa" w:w="1000"/>
            <w:shd w:val="clear" w:color="auto" w:fill="D9E2F3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状态</w:t>
            </w:r>
          </w:p>
        </w:tc>
      </w:tr>
      <w:tr>
        <w:tc>
          <w:tcPr>
            <w:tcW w:type="dxa" w:w="8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FR-2</w:t>
            </w:r>
          </w:p>
        </w:tc>
        <w:tc>
          <w:tcPr>
            <w:tcW w:type="dxa" w:w="30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智能分类（质量）</w:t>
            </w:r>
          </w:p>
        </w:tc>
        <w:tc>
          <w:tcPr>
            <w:tcW w:type="dxa" w:w="54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通过 Prompt 与参数调优提升大模型分类准确性、降低退化</w:t>
            </w:r>
          </w:p>
        </w:tc>
        <w:tc>
          <w:tcPr>
            <w:tcW w:type="dxa" w:w="10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8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FR-3</w:t>
            </w:r>
          </w:p>
        </w:tc>
        <w:tc>
          <w:tcPr>
            <w:tcW w:type="dxa" w:w="30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重要性评分与主动推送</w:t>
            </w:r>
          </w:p>
        </w:tc>
        <w:tc>
          <w:tcPr>
            <w:tcW w:type="dxa" w:w="54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卡片重要邮件红色高亮+🔥，星级展示重要性</w:t>
            </w:r>
          </w:p>
        </w:tc>
        <w:tc>
          <w:tcPr>
            <w:tcW w:type="dxa" w:w="10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8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FR-4</w:t>
            </w:r>
          </w:p>
        </w:tc>
        <w:tc>
          <w:tcPr>
            <w:tcW w:type="dxa" w:w="30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邮件摘要生成（展示）</w:t>
            </w:r>
          </w:p>
        </w:tc>
        <w:tc>
          <w:tcPr>
            <w:tcW w:type="dxa" w:w="54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卡片展示摘要；调优使摘要更凝练</w:t>
            </w:r>
          </w:p>
        </w:tc>
        <w:tc>
          <w:tcPr>
            <w:tcW w:type="dxa" w:w="10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已实现</w:t>
            </w:r>
          </w:p>
        </w:tc>
      </w:tr>
      <w:tr>
        <w:tc>
          <w:tcPr>
            <w:tcW w:type="dxa" w:w="8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FR-5</w:t>
            </w:r>
          </w:p>
        </w:tc>
        <w:tc>
          <w:tcPr>
            <w:tcW w:type="dxa" w:w="30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用户交互与反馈</w:t>
            </w:r>
          </w:p>
        </w:tc>
        <w:tc>
          <w:tcPr>
            <w:tcW w:type="dxa" w:w="54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三类卡片、8 个操作按钮、回传事件、卡片刷新与详情</w:t>
            </w:r>
          </w:p>
        </w:tc>
        <w:tc>
          <w:tcPr>
            <w:tcW w:type="dxa" w:w="10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已实现</w:t>
            </w:r>
          </w:p>
        </w:tc>
      </w:tr>
    </w:tbl>
    <w:p>
      <w:pPr>
        <w:spacing w:after="40"/>
      </w:pPr>
    </w:p>
    <w:p>
      <w:pPr>
        <w:spacing w:before="40" w:after="120"/>
        <w:jc w:val="center"/>
      </w:pPr>
      <w:r>
        <w:rPr>
          <w:rFonts w:ascii="Times New Roman" w:hAnsi="Times New Roman" w:eastAsia="楷体" w:cs="Times New Roman"/>
          <w:b w:val="0"/>
          <w:color w:val="404040"/>
          <w:sz w:val="18"/>
        </w:rPr>
        <w:t>表 2-1　本人负责的功能需求</w:t>
      </w:r>
    </w:p>
    <w:p>
      <w:pPr>
        <w:pStyle w:val="3"/>
      </w:pPr>
      <w:r>
        <w:rPr>
          <w:rFonts w:ascii="Times New Roman" w:hAnsi="Times New Roman" w:eastAsia="黑体" w:cs="Times New Roman"/>
          <w:b/>
          <w:sz w:val="32"/>
        </w:rPr>
        <w:t>2.3 非功能需求</w:t>
      </w:r>
    </w:p>
    <w:p>
      <w:pPr>
        <w:spacing w:line="360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飞书前端是用户直接感知的界面，非功能需求以用户体验与交互可靠性为重点；模型调优则以输出稳定性为重点。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153"/>
        <w:gridCol w:w="4153"/>
      </w:tblGrid>
      <w:tr>
        <w:tc>
          <w:tcPr>
            <w:tcW w:type="dxa" w:w="1400"/>
            <w:shd w:val="clear" w:color="auto" w:fill="D9E2F3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9"/>
              </w:rPr>
              <w:t>类别</w:t>
            </w:r>
          </w:p>
        </w:tc>
        <w:tc>
          <w:tcPr>
            <w:tcW w:type="dxa" w:w="8800"/>
            <w:shd w:val="clear" w:color="auto" w:fill="D9E2F3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9"/>
              </w:rPr>
              <w:t>需求与实现</w:t>
            </w:r>
          </w:p>
        </w:tc>
      </w:tr>
      <w:tr>
        <w:tc>
          <w:tcPr>
            <w:tcW w:type="dxa" w:w="14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用户体验</w:t>
            </w:r>
          </w:p>
        </w:tc>
        <w:tc>
          <w:tcPr>
            <w:tcW w:type="dxa" w:w="88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卡片格式美观、信息层次清晰；重要邮件高亮；删除操作二次确认；操作后即时反馈并刷新卡片状态</w:t>
            </w:r>
          </w:p>
        </w:tc>
      </w:tr>
      <w:tr>
        <w:tc>
          <w:tcPr>
            <w:tcW w:type="dxa" w:w="14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交互可靠性</w:t>
            </w:r>
          </w:p>
        </w:tc>
        <w:tc>
          <w:tcPr>
            <w:tcW w:type="dxa" w:w="88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针对飞书卡片回调 ~3 秒超时，采用“先 toast 再异步刷新”模式，避免红色超时错误；操作失败有明确文字提示，不静默吞错</w:t>
            </w:r>
          </w:p>
        </w:tc>
      </w:tr>
      <w:tr>
        <w:tc>
          <w:tcPr>
            <w:tcW w:type="dxa" w:w="14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模型输出稳定性</w:t>
            </w:r>
          </w:p>
        </w:tc>
        <w:tc>
          <w:tcPr>
            <w:tcW w:type="dxa" w:w="88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通过强约束 Prompt 与归一化，降低分类退化、重要性退化与非法 JSON 概率，使有效解析率接近 100%</w:t>
            </w:r>
          </w:p>
        </w:tc>
      </w:tr>
      <w:tr>
        <w:tc>
          <w:tcPr>
            <w:tcW w:type="dxa" w:w="14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可用性</w:t>
            </w:r>
          </w:p>
        </w:tc>
        <w:tc>
          <w:tcPr>
            <w:tcW w:type="dxa" w:w="88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提供 mock 卡片接口，无需后端即可独立调试卡片样式与交互</w:t>
            </w:r>
          </w:p>
        </w:tc>
      </w:tr>
    </w:tbl>
    <w:p>
      <w:pPr>
        <w:spacing w:after="40"/>
      </w:pPr>
    </w:p>
    <w:p>
      <w:pPr>
        <w:spacing w:before="40" w:after="120"/>
        <w:jc w:val="center"/>
      </w:pPr>
      <w:r>
        <w:rPr>
          <w:rFonts w:ascii="Times New Roman" w:hAnsi="Times New Roman" w:eastAsia="楷体" w:cs="Times New Roman"/>
          <w:b w:val="0"/>
          <w:color w:val="404040"/>
          <w:sz w:val="18"/>
        </w:rPr>
        <w:t>表 2-2　前端与模型非功能需求</w:t>
      </w:r>
    </w:p>
    <w:p>
      <w:pPr>
        <w:pStyle w:val="3"/>
      </w:pPr>
      <w:r>
        <w:rPr>
          <w:rFonts w:ascii="Times New Roman" w:hAnsi="Times New Roman" w:eastAsia="黑体" w:cs="Times New Roman"/>
          <w:b/>
          <w:sz w:val="32"/>
        </w:rPr>
        <w:t>2.4 技术选型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769"/>
        <w:gridCol w:w="2769"/>
        <w:gridCol w:w="2769"/>
      </w:tblGrid>
      <w:tr>
        <w:tc>
          <w:tcPr>
            <w:tcW w:type="dxa" w:w="1200"/>
            <w:shd w:val="clear" w:color="auto" w:fill="D9E2F3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9"/>
              </w:rPr>
              <w:t>类别</w:t>
            </w:r>
          </w:p>
        </w:tc>
        <w:tc>
          <w:tcPr>
            <w:tcW w:type="dxa" w:w="4600"/>
            <w:shd w:val="clear" w:color="auto" w:fill="D9E2F3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9"/>
              </w:rPr>
              <w:t>技术</w:t>
            </w:r>
          </w:p>
        </w:tc>
        <w:tc>
          <w:tcPr>
            <w:tcW w:type="dxa" w:w="4400"/>
            <w:shd w:val="clear" w:color="auto" w:fill="D9E2F3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9"/>
              </w:rPr>
              <w:t>选型说明</w:t>
            </w:r>
          </w:p>
        </w:tc>
      </w:tr>
      <w:tr>
        <w:tc>
          <w:tcPr>
            <w:tcW w:type="dxa" w:w="12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运行时</w:t>
            </w:r>
          </w:p>
        </w:tc>
        <w:tc>
          <w:tcPr>
            <w:tcW w:type="dxa" w:w="46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Node.js 20</w:t>
            </w:r>
          </w:p>
        </w:tc>
        <w:tc>
          <w:tcPr>
            <w:tcW w:type="dxa" w:w="44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与后端一致，便于协作</w:t>
            </w:r>
          </w:p>
        </w:tc>
      </w:tr>
      <w:tr>
        <w:tc>
          <w:tcPr>
            <w:tcW w:type="dxa" w:w="12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飞书对接</w:t>
            </w:r>
          </w:p>
        </w:tc>
        <w:tc>
          <w:tcPr>
            <w:tcW w:type="dxa" w:w="46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飞书开放平台 Node SDK(@larksuiteoapi/node-sdk)</w:t>
            </w:r>
          </w:p>
        </w:tc>
        <w:tc>
          <w:tcPr>
            <w:tcW w:type="dxa" w:w="44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官方 SDK，封装消息发送、卡片更新与事件分发</w:t>
            </w:r>
          </w:p>
        </w:tc>
      </w:tr>
      <w:tr>
        <w:tc>
          <w:tcPr>
            <w:tcW w:type="dxa" w:w="12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事件通道</w:t>
            </w:r>
          </w:p>
        </w:tc>
        <w:tc>
          <w:tcPr>
            <w:tcW w:type="dxa" w:w="46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WebSocket 长连接(WSClient)</w:t>
            </w:r>
          </w:p>
        </w:tc>
        <w:tc>
          <w:tcPr>
            <w:tcW w:type="dxa" w:w="44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免公网回调地址，内网联调便捷，实时接收卡片事件</w:t>
            </w:r>
          </w:p>
        </w:tc>
      </w:tr>
      <w:tr>
        <w:tc>
          <w:tcPr>
            <w:tcW w:type="dxa" w:w="12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HTTP 框架</w:t>
            </w:r>
          </w:p>
        </w:tc>
        <w:tc>
          <w:tcPr>
            <w:tcW w:type="dxa" w:w="46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Express</w:t>
            </w:r>
          </w:p>
        </w:tc>
        <w:tc>
          <w:tcPr>
            <w:tcW w:type="dxa" w:w="44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提供 /api/notify-email 等接收后端推送的接口</w:t>
            </w:r>
          </w:p>
        </w:tc>
      </w:tr>
      <w:tr>
        <w:tc>
          <w:tcPr>
            <w:tcW w:type="dxa" w:w="12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大模型</w:t>
            </w:r>
          </w:p>
        </w:tc>
        <w:tc>
          <w:tcPr>
            <w:tcW w:type="dxa" w:w="46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OpenClaw + DeepSeek(deepseek-chat)</w:t>
            </w:r>
          </w:p>
        </w:tc>
        <w:tc>
          <w:tcPr>
            <w:tcW w:type="dxa" w:w="44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成本低、中文效果好，作为分类/重要性/摘要的增强引擎</w:t>
            </w:r>
          </w:p>
        </w:tc>
      </w:tr>
    </w:tbl>
    <w:p>
      <w:pPr>
        <w:spacing w:after="40"/>
      </w:pPr>
    </w:p>
    <w:p>
      <w:pPr>
        <w:spacing w:before="40" w:after="120"/>
        <w:jc w:val="center"/>
      </w:pPr>
      <w:r>
        <w:rPr>
          <w:rFonts w:ascii="Times New Roman" w:hAnsi="Times New Roman" w:eastAsia="楷体" w:cs="Times New Roman"/>
          <w:b w:val="0"/>
          <w:color w:val="404040"/>
          <w:sz w:val="18"/>
        </w:rPr>
        <w:t>表 2-3　前端与模型关键技术选型</w:t>
      </w:r>
    </w:p>
    <w:p>
      <w:pPr>
        <w:pStyle w:val="3"/>
      </w:pPr>
      <w:r>
        <w:rPr>
          <w:rFonts w:ascii="Times New Roman" w:hAnsi="Times New Roman" w:eastAsia="黑体" w:cs="Times New Roman"/>
          <w:b/>
          <w:sz w:val="32"/>
        </w:rPr>
        <w:t>2.5 其他要求</w:t>
      </w:r>
    </w:p>
    <w:p>
      <w:pPr>
        <w:pStyle w:val="15"/>
        <w:spacing w:line="336" w:lineRule="auto" w:after="20"/>
        <w:ind w:left="420"/>
      </w:pPr>
      <w:r>
        <w:rPr>
          <w:rFonts w:ascii="Times New Roman" w:hAnsi="Times New Roman" w:eastAsia="宋体" w:cs="Times New Roman"/>
          <w:b w:val="0"/>
          <w:sz w:val="21"/>
        </w:rPr>
        <w:t>• 运行环境：Node.js 18+；飞书企业自建应用（开启机器人能力、消息发送权限与卡片事件订阅），配置 APP_ID/APP_SECRET 与默认接收者 DEFAULT_OPEN_ID；与后端共享 FEISHU_BOT_SHARED_SECRET。</w:t>
      </w:r>
    </w:p>
    <w:p>
      <w:pPr>
        <w:pStyle w:val="15"/>
        <w:spacing w:line="336" w:lineRule="auto" w:after="20"/>
        <w:ind w:left="420"/>
      </w:pPr>
      <w:r>
        <w:rPr>
          <w:rFonts w:ascii="Times New Roman" w:hAnsi="Times New Roman" w:eastAsia="宋体" w:cs="Times New Roman"/>
          <w:b w:val="0"/>
          <w:sz w:val="21"/>
        </w:rPr>
        <w:t>• 约束：卡片不适合展示超长正文，详情卡片仅展示正文前若干字符；分类枚举固定 6 类；按钮 action 命名须与后端约定一致。</w:t>
      </w:r>
    </w:p>
    <w:p>
      <w:r>
        <w:br w:type="page"/>
      </w:r>
    </w:p>
    <w:p>
      <w:pPr>
        <w:pStyle w:val="2"/>
        <w:jc w:val="center"/>
      </w:pPr>
      <w:r>
        <w:rPr>
          <w:rFonts w:ascii="Times New Roman" w:hAnsi="Times New Roman" w:eastAsia="黑体" w:cs="Times New Roman"/>
          <w:b/>
          <w:sz w:val="44"/>
        </w:rPr>
        <w:t>第3章 系统设计</w:t>
      </w:r>
    </w:p>
    <w:p>
      <w:pPr>
        <w:pStyle w:val="3"/>
      </w:pPr>
      <w:r>
        <w:rPr>
          <w:rFonts w:ascii="Times New Roman" w:hAnsi="Times New Roman" w:eastAsia="黑体" w:cs="Times New Roman"/>
          <w:b/>
          <w:sz w:val="32"/>
        </w:rPr>
        <w:t>3.1 引言</w:t>
      </w:r>
    </w:p>
    <w:p>
      <w:pPr>
        <w:spacing w:line="360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本章详细阐述本人负责的飞书前端与模型调优设计：先给出飞书机器人服务在整体架构中的位置与交互流程，再对三类交互式卡片的 UI、卡片刷新交互闭环进行详细设计，最后阐述大模型 Prompt 设计与参数调优方案。后端服务在本章中作为外部协作边界出现。</w:t>
      </w:r>
    </w:p>
    <w:p>
      <w:pPr>
        <w:pStyle w:val="3"/>
      </w:pPr>
      <w:r>
        <w:rPr>
          <w:rFonts w:ascii="Times New Roman" w:hAnsi="Times New Roman" w:eastAsia="黑体" w:cs="Times New Roman"/>
          <w:b/>
          <w:sz w:val="32"/>
        </w:rPr>
        <w:t>3.2 飞书前端总体设计与交互流程</w:t>
      </w:r>
    </w:p>
    <w:p>
      <w:pPr>
        <w:spacing w:line="360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飞书机器人服务（端口 3001）是用户交互入口，本身不直接访问邮箱与数据库，只负责展示后端推送的分析结果、提供操作按钮、并将用户点击事件回传后端。它通过两条链路与后端协作：推送链路（后端 → bot → 飞书用户）与回调链路（飞书用户 → bot → 后端），如下图所示。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 xml:space="preserve">  后端(:3000)                        飞书机器人服务(:3001) [本人]            飞书用户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 xml:space="preserve">     │  POST /api/notify-email           │                                     │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 xml:space="preserve">     ├──────────────────────────────────▶│ buildEmailCard()                    │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 xml:space="preserve">     │  (邮件分析数据)                    │ feishuClient.sendCard ──────────────▶│ 收到卡片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 xml:space="preserve">     │                                   │                                     │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 xml:space="preserve">     │                                   │ WSClient 监听 card.action.trigger ◀─┤ 点击按钮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 xml:space="preserve">     │                                   │ ① 先同步返回 toast("处理中...")     │ (停止3秒倒计时)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 xml:space="preserve">     │  POST /api/feishu/webhook         │ ② 后台 forwardToBackend(带密钥)     │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 xml:space="preserve">     │◀──────────────────────────────────┤                                     │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 xml:space="preserve">     │  执行业务并回传最新邮件状态        │                                     │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 xml:space="preserve">     ├──────────────────────────────────▶│ ③ updateCard 刷新原卡片 ────────────▶│ 卡片状态更新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 xml:space="preserve">     │                                   │   或 sendCard 新发详情卡片          │</w:t>
      </w:r>
    </w:p>
    <w:p>
      <w:pPr>
        <w:spacing w:before="40" w:after="120"/>
        <w:jc w:val="center"/>
      </w:pPr>
      <w:r>
        <w:rPr>
          <w:rFonts w:ascii="Times New Roman" w:hAnsi="Times New Roman" w:eastAsia="楷体" w:cs="Times New Roman"/>
          <w:b w:val="0"/>
          <w:color w:val="404040"/>
          <w:sz w:val="18"/>
        </w:rPr>
        <w:t>图 3-1　飞书机器人服务的推送链路与回调链路</w:t>
      </w:r>
    </w:p>
    <w:p>
      <w:pPr>
        <w:spacing w:line="360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机器人服务通过 feishuClient 封装飞书 OpenAPI，提供 sendCard（发送交互式卡片）、updateCard（patch 已发卡片）、sendText（文本提示）与 getMessage 等方法；并提供 /api/notify-email、/api/mock-card、/api/send-text 等 HTTP 接口，其中 mock-card 用于无后端独立调试卡片。</w:t>
      </w:r>
    </w:p>
    <w:p>
      <w:pPr>
        <w:pStyle w:val="3"/>
      </w:pPr>
      <w:r>
        <w:rPr>
          <w:rFonts w:ascii="Times New Roman" w:hAnsi="Times New Roman" w:eastAsia="黑体" w:cs="Times New Roman"/>
          <w:b/>
          <w:sz w:val="32"/>
        </w:rPr>
        <w:t>3.3 飞书卡片 UI 设计</w:t>
      </w:r>
    </w:p>
    <w:p>
      <w:pPr>
        <w:spacing w:line="360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系统的用户界面以三类交互式卡片为载体：邮件通知卡片、邮件详情卡片、分类选择卡片。其中邮件通知卡片是核心，布局如下图所示。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>┌──────────────────────────────────────────────┐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>│ 🔥 邮件主题            （重要邮件红色卡头+🔥）  │ ← header 按分类着色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>├──────────────────────────────────────────────┤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>│ 发件人：xxx           收件人：yyy              │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>│ 时间：2026-06-06 10:00                          │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>│ ──────────────────────────────────────────    │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>│ 📂 分类：工作 置信度90%  ⭐重要性 ★★★★★★★★(8/10)│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>│ ──────────────────────────────────────────    │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>│ 📝 摘要：……    💡 分类理由：……                │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>│ 状态：📬未读 | 📂收件箱                          │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>│ ──────────────────────────────────────────    │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>│ [📖标为已读][⭐标为重点][📦归档]               │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>│ [✅分类正确][❌分类错误][🔍查看详情]           │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>│ [🗑删除]   [🔄重新分析]                         │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>└──────────────────────────────────────────────┘</w:t>
      </w:r>
    </w:p>
    <w:p>
      <w:pPr>
        <w:spacing w:before="40" w:after="120"/>
        <w:jc w:val="center"/>
      </w:pPr>
      <w:r>
        <w:rPr>
          <w:rFonts w:ascii="Times New Roman" w:hAnsi="Times New Roman" w:eastAsia="楷体" w:cs="Times New Roman"/>
          <w:b w:val="0"/>
          <w:color w:val="404040"/>
          <w:sz w:val="18"/>
        </w:rPr>
        <w:t>图 3-2　飞书邮件通知卡片布局</w:t>
      </w:r>
    </w:p>
    <w:p>
      <w:pPr>
        <w:spacing w:line="360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卡片设计上的若干要点：按邮件分类映射卡头颜色以便快速区分类型，当邮件被判定为重要时统一覆盖为红色并加“🔥”前缀；重要性以 0~10 的星级（★/☆）直观呈现；状态行显示已读/未读与归档状态；删除按钮带二次确认弹窗，提示该操作真实不可恢复；为避免飞书 Markdown 渲染异常，对所有用户文本做 escapeMd 转义，时间统一格式化为东八区可读字符串。分类与颜色映射、按钮设计分别如下两表。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87"/>
            <w:shd w:val="clear" w:color="auto" w:fill="D9E2F3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9"/>
              </w:rPr>
              <w:t>分类</w:t>
            </w:r>
          </w:p>
        </w:tc>
        <w:tc>
          <w:tcPr>
            <w:tcW w:type="dxa" w:w="1187"/>
            <w:shd w:val="clear" w:color="auto" w:fill="D9E2F3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9"/>
              </w:rPr>
              <w:t>work</w:t>
            </w:r>
          </w:p>
        </w:tc>
        <w:tc>
          <w:tcPr>
            <w:tcW w:type="dxa" w:w="1187"/>
            <w:shd w:val="clear" w:color="auto" w:fill="D9E2F3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9"/>
              </w:rPr>
              <w:t>personal</w:t>
            </w:r>
          </w:p>
        </w:tc>
        <w:tc>
          <w:tcPr>
            <w:tcW w:type="dxa" w:w="1187"/>
            <w:shd w:val="clear" w:color="auto" w:fill="D9E2F3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9"/>
              </w:rPr>
              <w:t>shopping</w:t>
            </w:r>
          </w:p>
        </w:tc>
        <w:tc>
          <w:tcPr>
            <w:tcW w:type="dxa" w:w="1187"/>
            <w:shd w:val="clear" w:color="auto" w:fill="D9E2F3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9"/>
              </w:rPr>
              <w:t>marketing</w:t>
            </w:r>
          </w:p>
        </w:tc>
        <w:tc>
          <w:tcPr>
            <w:tcW w:type="dxa" w:w="1187"/>
            <w:shd w:val="clear" w:color="auto" w:fill="D9E2F3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9"/>
              </w:rPr>
              <w:t>spam</w:t>
            </w:r>
          </w:p>
        </w:tc>
        <w:tc>
          <w:tcPr>
            <w:tcW w:type="dxa" w:w="1187"/>
            <w:shd w:val="clear" w:color="auto" w:fill="D9E2F3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9"/>
              </w:rPr>
              <w:t>other</w:t>
            </w:r>
          </w:p>
        </w:tc>
      </w:tr>
      <w:tr>
        <w:tc>
          <w:tcPr>
            <w:tcW w:type="dxa" w:w="1187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中文</w:t>
            </w:r>
          </w:p>
        </w:tc>
        <w:tc>
          <w:tcPr>
            <w:tcW w:type="dxa" w:w="1187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工作</w:t>
            </w:r>
          </w:p>
        </w:tc>
        <w:tc>
          <w:tcPr>
            <w:tcW w:type="dxa" w:w="1187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个人</w:t>
            </w:r>
          </w:p>
        </w:tc>
        <w:tc>
          <w:tcPr>
            <w:tcW w:type="dxa" w:w="1187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购物</w:t>
            </w:r>
          </w:p>
        </w:tc>
        <w:tc>
          <w:tcPr>
            <w:tcW w:type="dxa" w:w="1187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营销</w:t>
            </w:r>
          </w:p>
        </w:tc>
        <w:tc>
          <w:tcPr>
            <w:tcW w:type="dxa" w:w="1187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垃圾</w:t>
            </w:r>
          </w:p>
        </w:tc>
        <w:tc>
          <w:tcPr>
            <w:tcW w:type="dxa" w:w="1187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其他</w:t>
            </w:r>
          </w:p>
        </w:tc>
      </w:tr>
      <w:tr>
        <w:tc>
          <w:tcPr>
            <w:tcW w:type="dxa" w:w="1187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卡头色</w:t>
            </w:r>
          </w:p>
        </w:tc>
        <w:tc>
          <w:tcPr>
            <w:tcW w:type="dxa" w:w="1187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蓝</w:t>
            </w:r>
          </w:p>
        </w:tc>
        <w:tc>
          <w:tcPr>
            <w:tcW w:type="dxa" w:w="1187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绿</w:t>
            </w:r>
          </w:p>
        </w:tc>
        <w:tc>
          <w:tcPr>
            <w:tcW w:type="dxa" w:w="1187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黄</w:t>
            </w:r>
          </w:p>
        </w:tc>
        <w:tc>
          <w:tcPr>
            <w:tcW w:type="dxa" w:w="1187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紫</w:t>
            </w:r>
          </w:p>
        </w:tc>
        <w:tc>
          <w:tcPr>
            <w:tcW w:type="dxa" w:w="1187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红</w:t>
            </w:r>
          </w:p>
        </w:tc>
        <w:tc>
          <w:tcPr>
            <w:tcW w:type="dxa" w:w="1187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9"/>
              </w:rPr>
              <w:t>灰</w:t>
            </w:r>
          </w:p>
        </w:tc>
      </w:tr>
    </w:tbl>
    <w:p>
      <w:pPr>
        <w:spacing w:after="40"/>
      </w:pPr>
    </w:p>
    <w:p>
      <w:pPr>
        <w:spacing w:before="40" w:after="120"/>
        <w:jc w:val="center"/>
      </w:pPr>
      <w:r>
        <w:rPr>
          <w:rFonts w:ascii="Times New Roman" w:hAnsi="Times New Roman" w:eastAsia="楷体" w:cs="Times New Roman"/>
          <w:b w:val="0"/>
          <w:color w:val="404040"/>
          <w:sz w:val="18"/>
        </w:rPr>
        <w:t>表 3-1　分类与卡片卡头颜色映射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076"/>
        <w:gridCol w:w="2076"/>
        <w:gridCol w:w="2076"/>
        <w:gridCol w:w="2076"/>
      </w:tblGrid>
      <w:tr>
        <w:tc>
          <w:tcPr>
            <w:tcW w:type="dxa" w:w="1200"/>
            <w:shd w:val="clear" w:color="auto" w:fill="D9E2F3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按钮</w:t>
            </w:r>
          </w:p>
        </w:tc>
        <w:tc>
          <w:tcPr>
            <w:tcW w:type="dxa" w:w="1900"/>
            <w:shd w:val="clear" w:color="auto" w:fill="D9E2F3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action</w:t>
            </w:r>
          </w:p>
        </w:tc>
        <w:tc>
          <w:tcPr>
            <w:tcW w:type="dxa" w:w="3500"/>
            <w:shd w:val="clear" w:color="auto" w:fill="D9E2F3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回传内容</w:t>
            </w:r>
          </w:p>
        </w:tc>
        <w:tc>
          <w:tcPr>
            <w:tcW w:type="dxa" w:w="3600"/>
            <w:shd w:val="clear" w:color="auto" w:fill="D9E2F3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交互</w:t>
            </w:r>
          </w:p>
        </w:tc>
      </w:tr>
      <w:tr>
        <w:tc>
          <w:tcPr>
            <w:tcW w:type="dxa" w:w="12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标为已读</w:t>
            </w:r>
          </w:p>
        </w:tc>
        <w:tc>
          <w:tcPr>
            <w:tcW w:type="dxa" w:w="19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mark_read</w:t>
            </w:r>
          </w:p>
        </w:tc>
        <w:tc>
          <w:tcPr>
            <w:tcW w:type="dxa" w:w="35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emailId</w:t>
            </w:r>
          </w:p>
        </w:tc>
        <w:tc>
          <w:tcPr>
            <w:tcW w:type="dxa" w:w="36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异步刷新卡片状态</w:t>
            </w:r>
          </w:p>
        </w:tc>
      </w:tr>
      <w:tr>
        <w:tc>
          <w:tcPr>
            <w:tcW w:type="dxa" w:w="12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标为重点</w:t>
            </w:r>
          </w:p>
        </w:tc>
        <w:tc>
          <w:tcPr>
            <w:tcW w:type="dxa" w:w="19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mark_important</w:t>
            </w:r>
          </w:p>
        </w:tc>
        <w:tc>
          <w:tcPr>
            <w:tcW w:type="dxa" w:w="35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emailId</w:t>
            </w:r>
          </w:p>
        </w:tc>
        <w:tc>
          <w:tcPr>
            <w:tcW w:type="dxa" w:w="36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异步刷新</w:t>
            </w:r>
          </w:p>
        </w:tc>
      </w:tr>
      <w:tr>
        <w:tc>
          <w:tcPr>
            <w:tcW w:type="dxa" w:w="12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归档</w:t>
            </w:r>
          </w:p>
        </w:tc>
        <w:tc>
          <w:tcPr>
            <w:tcW w:type="dxa" w:w="19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archive</w:t>
            </w:r>
          </w:p>
        </w:tc>
        <w:tc>
          <w:tcPr>
            <w:tcW w:type="dxa" w:w="35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emailId</w:t>
            </w:r>
          </w:p>
        </w:tc>
        <w:tc>
          <w:tcPr>
            <w:tcW w:type="dxa" w:w="36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异步刷新</w:t>
            </w:r>
          </w:p>
        </w:tc>
      </w:tr>
      <w:tr>
        <w:tc>
          <w:tcPr>
            <w:tcW w:type="dxa" w:w="12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删除</w:t>
            </w:r>
          </w:p>
        </w:tc>
        <w:tc>
          <w:tcPr>
            <w:tcW w:type="dxa" w:w="19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delete</w:t>
            </w:r>
          </w:p>
        </w:tc>
        <w:tc>
          <w:tcPr>
            <w:tcW w:type="dxa" w:w="35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emailId</w:t>
            </w:r>
          </w:p>
        </w:tc>
        <w:tc>
          <w:tcPr>
            <w:tcW w:type="dxa" w:w="36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二次确认 → 异步刷新（按钮区消失）</w:t>
            </w:r>
          </w:p>
        </w:tc>
      </w:tr>
      <w:tr>
        <w:tc>
          <w:tcPr>
            <w:tcW w:type="dxa" w:w="12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分类正确</w:t>
            </w:r>
          </w:p>
        </w:tc>
        <w:tc>
          <w:tcPr>
            <w:tcW w:type="dxa" w:w="19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feedback_correct</w:t>
            </w:r>
          </w:p>
        </w:tc>
        <w:tc>
          <w:tcPr>
            <w:tcW w:type="dxa" w:w="35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emailId</w:t>
            </w:r>
          </w:p>
        </w:tc>
        <w:tc>
          <w:tcPr>
            <w:tcW w:type="dxa" w:w="36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异步刷新</w:t>
            </w:r>
          </w:p>
        </w:tc>
      </w:tr>
      <w:tr>
        <w:tc>
          <w:tcPr>
            <w:tcW w:type="dxa" w:w="12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分类错误</w:t>
            </w:r>
          </w:p>
        </w:tc>
        <w:tc>
          <w:tcPr>
            <w:tcW w:type="dxa" w:w="19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feedback_wrong</w:t>
            </w:r>
          </w:p>
        </w:tc>
        <w:tc>
          <w:tcPr>
            <w:tcW w:type="dxa" w:w="35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emailId(+expectedCategory)</w:t>
            </w:r>
          </w:p>
        </w:tc>
        <w:tc>
          <w:tcPr>
            <w:tcW w:type="dxa" w:w="36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弹出分类选择卡片 → 选择后回传</w:t>
            </w:r>
          </w:p>
        </w:tc>
      </w:tr>
      <w:tr>
        <w:tc>
          <w:tcPr>
            <w:tcW w:type="dxa" w:w="12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查看详情</w:t>
            </w:r>
          </w:p>
        </w:tc>
        <w:tc>
          <w:tcPr>
            <w:tcW w:type="dxa" w:w="19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view_detail</w:t>
            </w:r>
          </w:p>
        </w:tc>
        <w:tc>
          <w:tcPr>
            <w:tcW w:type="dxa" w:w="35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emailId</w:t>
            </w:r>
          </w:p>
        </w:tc>
        <w:tc>
          <w:tcPr>
            <w:tcW w:type="dxa" w:w="36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新发一张详情卡片，保留原卡片</w:t>
            </w:r>
          </w:p>
        </w:tc>
      </w:tr>
      <w:tr>
        <w:tc>
          <w:tcPr>
            <w:tcW w:type="dxa" w:w="12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重新分析</w:t>
            </w:r>
          </w:p>
        </w:tc>
        <w:tc>
          <w:tcPr>
            <w:tcW w:type="dxa" w:w="19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reanalyze</w:t>
            </w:r>
          </w:p>
        </w:tc>
        <w:tc>
          <w:tcPr>
            <w:tcW w:type="dxa" w:w="35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emailId</w:t>
            </w:r>
          </w:p>
        </w:tc>
        <w:tc>
          <w:tcPr>
            <w:tcW w:type="dxa" w:w="36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异步刷新</w:t>
            </w:r>
          </w:p>
        </w:tc>
      </w:tr>
    </w:tbl>
    <w:p>
      <w:pPr>
        <w:spacing w:after="40"/>
      </w:pPr>
    </w:p>
    <w:p>
      <w:pPr>
        <w:spacing w:before="40" w:after="120"/>
        <w:jc w:val="center"/>
      </w:pPr>
      <w:r>
        <w:rPr>
          <w:rFonts w:ascii="Times New Roman" w:hAnsi="Times New Roman" w:eastAsia="楷体" w:cs="Times New Roman"/>
          <w:b w:val="0"/>
          <w:color w:val="404040"/>
          <w:sz w:val="18"/>
        </w:rPr>
        <w:t>表 3-2　卡片按钮设计</w:t>
      </w:r>
    </w:p>
    <w:p>
      <w:pPr>
        <w:spacing w:line="360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分类选择卡片在用户点击“分类错误”时同步弹出，列出 work/personal/shopping/marketing/spam/other 六个选项，选择后携带 expectedCategory 回传给后端记录纠错。详情卡片在用户点击“查看详情”时由后端返回的正文预览数据构建并新发，包含主题、收发件人、时间、分类与重要性、摘要及正文预览。</w:t>
      </w:r>
    </w:p>
    <w:p>
      <w:pPr>
        <w:pStyle w:val="3"/>
      </w:pPr>
      <w:r>
        <w:rPr>
          <w:rFonts w:ascii="Times New Roman" w:hAnsi="Times New Roman" w:eastAsia="黑体" w:cs="Times New Roman"/>
          <w:b/>
          <w:sz w:val="32"/>
        </w:rPr>
        <w:t>3.4 卡片刷新交互闭环设计</w:t>
      </w:r>
    </w:p>
    <w:p>
      <w:pPr>
        <w:spacing w:line="360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飞书 card.action.trigger 回调有约 3 秒超时，超时会在卡片上显示红色错误；而后端真实业务（IMAP/数据库）可能慢于 3 秒。为兼顾“不超时”与“操作后卡片状态正确刷新”，本人设计了“先 toast、再异步刷新”的交互模式，其逻辑如下。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>handleCardAction(event):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 xml:space="preserve">  if action == feedback_wrong 且未带 expectedCategory: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 xml:space="preserve">      return { card: 分类选择卡片 }          # 唯一同步分支，不依赖后端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 xml:space="preserve">  scheduleBackendAndRefresh(...)              # 不 await，立即返回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 xml:space="preserve">  return { toast: "处理中..." }               # ① 毫秒级返回，让飞书停止倒计时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 xml:space="preserve"> 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>doBackendAndRefresh(...):                     # ② 后台执行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 xml:space="preserve">  result = forwardToBackend(payload+X-Bot-Secret)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 xml:space="preserve">  if not result.success: sendText(失败提示); return   # 失败可见化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 xml:space="preserve">  if action == view_detail: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 xml:space="preserve">      sendCard(详情卡片)                       # 新发，保留原卡片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 xml:space="preserve">  else: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 xml:space="preserve">      updateCard(messageId, buildEmailCard(result.email))  # ③ patch 原卡片刷新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 xml:space="preserve">      sendText(带主题的简短确认)</w:t>
      </w:r>
    </w:p>
    <w:p>
      <w:pPr>
        <w:spacing w:before="40" w:after="120"/>
        <w:jc w:val="center"/>
      </w:pPr>
      <w:r>
        <w:rPr>
          <w:rFonts w:ascii="Times New Roman" w:hAnsi="Times New Roman" w:eastAsia="楷体" w:cs="Times New Roman"/>
          <w:b w:val="0"/>
          <w:color w:val="404040"/>
          <w:sz w:val="18"/>
        </w:rPr>
        <w:t>图 3-3　“先 toast 再异步刷新”交互闭环伪代码</w:t>
      </w:r>
    </w:p>
    <w:p>
      <w:pPr>
        <w:spacing w:line="360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该设计同时解决了三个问题：一是规避了飞书 3 秒超时红色错误；二是保证所有按钮操作后卡片状态都能正确刷新（依赖从事件中稳健提取的 open_message_id）；三是将后端或刷新链路任意环节的失败以文字消息明确反馈给用户，不再静默吞错。这一模式是早期“为规避超时直接返回空响应导致卡片永不刷新”问题的根治方案。</w:t>
      </w:r>
    </w:p>
    <w:p>
      <w:pPr>
        <w:pStyle w:val="3"/>
      </w:pPr>
      <w:r>
        <w:rPr>
          <w:rFonts w:ascii="Times New Roman" w:hAnsi="Times New Roman" w:eastAsia="黑体" w:cs="Times New Roman"/>
          <w:b/>
          <w:sz w:val="32"/>
        </w:rPr>
        <w:t>3.5 大模型 Prompt 设计与参数调优</w:t>
      </w:r>
    </w:p>
    <w:p>
      <w:pPr>
        <w:spacing w:line="360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分析效果直接取决于提交给大模型的提示词与模型参数。本人负责 OpenClaw + DeepSeek 分析的 Prompt 设计与参数调优（OpenClaw 子进程的工程接入由后端同学完成），目标是让模型在分类、重要性、摘要三项任务上稳定输出可解析、可用的结果。</w:t>
      </w:r>
    </w:p>
    <w:p>
      <w:pPr>
        <w:spacing w:before="160" w:after="80"/>
      </w:pPr>
      <w:r>
        <w:rPr>
          <w:rFonts w:ascii="Times New Roman" w:hAnsi="Times New Roman" w:eastAsia="黑体" w:cs="Times New Roman"/>
          <w:b/>
          <w:sz w:val="24"/>
        </w:rPr>
        <w:t>3.5.1 Prompt 设计</w:t>
      </w:r>
    </w:p>
    <w:p>
      <w:pPr>
        <w:spacing w:line="360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提示词采用强约束的结构化设计，要点包括：明确角色与任务；强制只返回单个合法 JSON 对象、禁止 Markdown 代码块与围栏、禁止解释性文字；要求对字符串中的双引号与换行正确转义以保证可被直接解析；给出精确的字段 schema；附上结构化的邮件信息并对正文做长度截断以控制 token 成本。其结构示意如下。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>请作为 EmailClaw 邮件分析 Agent 分析下面这封邮件。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>你必须只返回一个合法的 JSON 对象，不要返回 Markdown 代码块/围栏或任何解释文字。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>字符串中若含双引号或换行必须正确转义，确保整段可被 JSON.parse 解析。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>字段格式：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>{"category":"work|personal|shopping|marketing|spam|other",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 xml:space="preserve"> "confidence":0.8,"classificationReasoning":"...",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 xml:space="preserve"> "importance":7,"importanceReasoning":"...","summary":"..."}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 xml:space="preserve"> 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>UID/Message-ID/Subject/From/To/Date/Attachments: ...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>Body: &lt;正文截断至 6000 字符&gt;</w:t>
      </w:r>
    </w:p>
    <w:p>
      <w:pPr>
        <w:spacing w:before="40" w:after="120"/>
        <w:jc w:val="center"/>
      </w:pPr>
      <w:r>
        <w:rPr>
          <w:rFonts w:ascii="Times New Roman" w:hAnsi="Times New Roman" w:eastAsia="楷体" w:cs="Times New Roman"/>
          <w:b w:val="0"/>
          <w:color w:val="404040"/>
          <w:sz w:val="18"/>
        </w:rPr>
        <w:t>图 3-4　结构化分析提示词设计</w:t>
      </w:r>
    </w:p>
    <w:p>
      <w:pPr>
        <w:spacing w:before="160" w:after="80"/>
      </w:pPr>
      <w:r>
        <w:rPr>
          <w:rFonts w:ascii="Times New Roman" w:hAnsi="Times New Roman" w:eastAsia="黑体" w:cs="Times New Roman"/>
          <w:b/>
          <w:sz w:val="24"/>
        </w:rPr>
        <w:t>3.5.2 参数与模型选型调优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769"/>
        <w:gridCol w:w="2769"/>
        <w:gridCol w:w="2769"/>
      </w:tblGrid>
      <w:tr>
        <w:tc>
          <w:tcPr>
            <w:tcW w:type="dxa" w:w="1300"/>
            <w:shd w:val="clear" w:color="auto" w:fill="D9E2F3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项</w:t>
            </w:r>
          </w:p>
        </w:tc>
        <w:tc>
          <w:tcPr>
            <w:tcW w:type="dxa" w:w="3600"/>
            <w:shd w:val="clear" w:color="auto" w:fill="D9E2F3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取值/策略</w:t>
            </w:r>
          </w:p>
        </w:tc>
        <w:tc>
          <w:tcPr>
            <w:tcW w:type="dxa" w:w="5300"/>
            <w:shd w:val="clear" w:color="auto" w:fill="D9E2F3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调优考量</w:t>
            </w:r>
          </w:p>
        </w:tc>
      </w:tr>
      <w:tr>
        <w:tc>
          <w:tcPr>
            <w:tcW w:type="dxa" w:w="13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模型</w:t>
            </w:r>
          </w:p>
        </w:tc>
        <w:tc>
          <w:tcPr>
            <w:tcW w:type="dxa" w:w="36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deepseek/deepseek-chat</w:t>
            </w:r>
          </w:p>
        </w:tc>
        <w:tc>
          <w:tcPr>
            <w:tcW w:type="dxa" w:w="53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最便宜的非推理模型，中文分类/摘要效果已足够，控成本</w:t>
            </w:r>
          </w:p>
        </w:tc>
      </w:tr>
      <w:tr>
        <w:tc>
          <w:tcPr>
            <w:tcW w:type="dxa" w:w="13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正文截断</w:t>
            </w:r>
          </w:p>
        </w:tc>
        <w:tc>
          <w:tcPr>
            <w:tcW w:type="dxa" w:w="36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前 6000 字符</w:t>
            </w:r>
          </w:p>
        </w:tc>
        <w:tc>
          <w:tcPr>
            <w:tcW w:type="dxa" w:w="53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兼顾上下文充分性与 token 成本、超时风险</w:t>
            </w:r>
          </w:p>
        </w:tc>
      </w:tr>
      <w:tr>
        <w:tc>
          <w:tcPr>
            <w:tcW w:type="dxa" w:w="13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超时</w:t>
            </w:r>
          </w:p>
        </w:tc>
        <w:tc>
          <w:tcPr>
            <w:tcW w:type="dxa" w:w="36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OPENCLAW_TIMEOUT_MS=60000</w:t>
            </w:r>
          </w:p>
        </w:tc>
        <w:tc>
          <w:tcPr>
            <w:tcW w:type="dxa" w:w="53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由默认 30s 上调至 60s，降低长邮件分析超时概率</w:t>
            </w:r>
          </w:p>
        </w:tc>
      </w:tr>
      <w:tr>
        <w:tc>
          <w:tcPr>
            <w:tcW w:type="dxa" w:w="13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输出归一化</w:t>
            </w:r>
          </w:p>
        </w:tc>
        <w:tc>
          <w:tcPr>
            <w:tcW w:type="dxa" w:w="36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类别越界归 other、置信度[0,1]、重要性[0,10]、缺省填默认</w:t>
            </w:r>
          </w:p>
        </w:tc>
        <w:tc>
          <w:tcPr>
            <w:tcW w:type="dxa" w:w="53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保证下游拿到结构稳定的结果</w:t>
            </w:r>
          </w:p>
        </w:tc>
      </w:tr>
    </w:tbl>
    <w:p>
      <w:pPr>
        <w:spacing w:after="40"/>
      </w:pPr>
    </w:p>
    <w:p>
      <w:pPr>
        <w:spacing w:before="40" w:after="120"/>
        <w:jc w:val="center"/>
      </w:pPr>
      <w:r>
        <w:rPr>
          <w:rFonts w:ascii="Times New Roman" w:hAnsi="Times New Roman" w:eastAsia="楷体" w:cs="Times New Roman"/>
          <w:b w:val="0"/>
          <w:color w:val="404040"/>
          <w:sz w:val="18"/>
        </w:rPr>
        <w:t>表 3-3　模型参数与选型调优</w:t>
      </w:r>
    </w:p>
    <w:p>
      <w:pPr>
        <w:spacing w:before="160" w:after="80"/>
      </w:pPr>
      <w:r>
        <w:rPr>
          <w:rFonts w:ascii="Times New Roman" w:hAnsi="Times New Roman" w:eastAsia="黑体" w:cs="Times New Roman"/>
          <w:b/>
          <w:sz w:val="24"/>
        </w:rPr>
        <w:t>3.5.3 效果评估指标</w:t>
      </w:r>
    </w:p>
    <w:p>
      <w:pPr>
        <w:spacing w:line="360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本人以可量化的现象作为调优是否生效的判定标准：分类结果不应清一色退化为“other”、重要性不应清一色退化为默认值“3”（这是提示词约束不足或解析失败时的典型表现）；模型输出应能被稳定解析为合法 JSON，不夹带 Markdown 围栏；分类理由与摘要应贴合邮件内容。配合后端的容错重试，最终有效解析率被拉到接近 100%；当大模型不可用时，系统回退本地关键词规则，仍能产出基础分类，保证体验不中断。</w:t>
      </w:r>
    </w:p>
    <w:p>
      <w:r>
        <w:br w:type="page"/>
      </w:r>
    </w:p>
    <w:p>
      <w:pPr>
        <w:pStyle w:val="2"/>
        <w:jc w:val="center"/>
      </w:pPr>
      <w:r>
        <w:rPr>
          <w:rFonts w:ascii="Times New Roman" w:hAnsi="Times New Roman" w:eastAsia="黑体" w:cs="Times New Roman"/>
          <w:b/>
          <w:sz w:val="44"/>
        </w:rPr>
        <w:t>第4章 系统实现</w:t>
      </w:r>
    </w:p>
    <w:p>
      <w:pPr>
        <w:pStyle w:val="3"/>
      </w:pPr>
      <w:r>
        <w:rPr>
          <w:rFonts w:ascii="Times New Roman" w:hAnsi="Times New Roman" w:eastAsia="黑体" w:cs="Times New Roman"/>
          <w:b/>
          <w:sz w:val="32"/>
        </w:rPr>
        <w:t>4.1 引言</w:t>
      </w:r>
    </w:p>
    <w:p>
      <w:pPr>
        <w:spacing w:line="360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本章介绍本人负责模块的实现情况。飞书机器人服务作为独立子项目 email_claw_bot 开发，基于 Node.js + 飞书 Node SDK，关键脚本通过语法检查。源码结构如下。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>email_claw_bot/src/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>├── server.js                飞书 bot 入口(:3001)：HTTP 接口 + WSClient 事件分发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>├── cards/emailCard.js       三类卡片构建器：邮件卡片/详情卡片/分类选择卡片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>├── handlers/cardHandler.js  卡片按钮事件处理：先 toast 再异步 updateCard、转发后端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>└── services/feishuClient.js 飞书 OpenAPI 封装：sendCard/updateCard/sendText/getMessage</w:t>
      </w:r>
    </w:p>
    <w:p>
      <w:pPr>
        <w:spacing w:before="40" w:after="120"/>
        <w:jc w:val="center"/>
      </w:pPr>
      <w:r>
        <w:rPr>
          <w:rFonts w:ascii="Times New Roman" w:hAnsi="Times New Roman" w:eastAsia="楷体" w:cs="Times New Roman"/>
          <w:b w:val="0"/>
          <w:color w:val="404040"/>
          <w:sz w:val="18"/>
        </w:rPr>
        <w:t>图 4-1　飞书机器人服务源码结构</w:t>
      </w:r>
    </w:p>
    <w:p>
      <w:pPr>
        <w:pStyle w:val="3"/>
      </w:pPr>
      <w:r>
        <w:rPr>
          <w:rFonts w:ascii="Times New Roman" w:hAnsi="Times New Roman" w:eastAsia="黑体" w:cs="Times New Roman"/>
          <w:b/>
          <w:sz w:val="32"/>
        </w:rPr>
        <w:t>4.2 关键实现与运行</w:t>
      </w:r>
    </w:p>
    <w:p>
      <w:pPr>
        <w:spacing w:before="160" w:after="80"/>
      </w:pPr>
      <w:r>
        <w:rPr>
          <w:rFonts w:ascii="Times New Roman" w:hAnsi="Times New Roman" w:eastAsia="黑体" w:cs="Times New Roman"/>
          <w:b/>
          <w:sz w:val="24"/>
        </w:rPr>
        <w:t>事件接收与卡片发送</w:t>
      </w:r>
    </w:p>
    <w:p>
      <w:pPr>
        <w:spacing w:line="360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server.js 初始化飞书客户端并启动 WSClient 长连接，注册三类事件：用户进入单聊（发送欢迎语）、接收用户消息（回复提示）、以及核心的 card.action.trigger（交给 cardHandler 处理）。同时提供 HTTP 接口供后端调用。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># 后端推送 → bot 发送卡片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>POST :3001/api/notify-email   Body: { emailId, subject, from, category,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 xml:space="preserve">                                       importance, summary, isImportant, openId, ... }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># 无后端独立调试卡片样式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>POST :3001/api/mock-card      Body: {}  (内置一封 mock 邮件数据)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># 健康检查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>GET  :3001/ping               → { status: "ok", service: "EmailClaw Bot" }</w:t>
      </w:r>
    </w:p>
    <w:p>
      <w:pPr>
        <w:spacing w:before="40" w:after="120"/>
        <w:jc w:val="center"/>
      </w:pPr>
      <w:r>
        <w:rPr>
          <w:rFonts w:ascii="Times New Roman" w:hAnsi="Times New Roman" w:eastAsia="楷体" w:cs="Times New Roman"/>
          <w:b w:val="0"/>
          <w:color w:val="404040"/>
          <w:sz w:val="18"/>
        </w:rPr>
        <w:t>图 4-2　飞书机器人 HTTP 接口</w:t>
      </w:r>
    </w:p>
    <w:p>
      <w:pPr>
        <w:spacing w:before="160" w:after="80"/>
      </w:pPr>
      <w:r>
        <w:rPr>
          <w:rFonts w:ascii="Times New Roman" w:hAnsi="Times New Roman" w:eastAsia="黑体" w:cs="Times New Roman"/>
          <w:b/>
          <w:sz w:val="24"/>
        </w:rPr>
        <w:t>OpenClaw + DeepSeek 配置（模型侧）</w:t>
      </w:r>
    </w:p>
    <w:p>
      <w:pPr>
        <w:spacing w:line="360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在模型侧，本人完成 DeepSeek API Key 配置、默认模型选定与 email-claw agent 创建，并单独自测连通性与分析 JSON 输出后再接入后端，关键命令如下。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>openclaw config set models.providers.deepseek.apiKey "sk-..."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>openclaw config set agents.defaults.model "deepseek/deepseek-chat"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>openclaw agents add email-claw --model deepseek/deepseek-chat --non-interactive</w:t>
      </w:r>
    </w:p>
    <w:p>
      <w:pPr>
        <w:spacing w:line="240" w:lineRule="auto" w:after="0" w:before="0"/>
        <w:ind w:left="280"/>
        <w:shd w:val="clear" w:color="auto" w:fill="F2F2F2"/>
      </w:pPr>
      <w:r>
        <w:rPr>
          <w:rFonts w:ascii="Consolas" w:hAnsi="Consolas" w:eastAsia="宋体" w:cs="Consolas"/>
          <w:b w:val="0"/>
          <w:sz w:val="18"/>
        </w:rPr>
        <w:t># 自测分析 JSON：openclaw agent --agent email-claw --json --local --message "..."</w:t>
      </w:r>
    </w:p>
    <w:p>
      <w:pPr>
        <w:spacing w:before="40" w:after="120"/>
        <w:jc w:val="center"/>
      </w:pPr>
      <w:r>
        <w:rPr>
          <w:rFonts w:ascii="Times New Roman" w:hAnsi="Times New Roman" w:eastAsia="楷体" w:cs="Times New Roman"/>
          <w:b w:val="0"/>
          <w:color w:val="404040"/>
          <w:sz w:val="18"/>
        </w:rPr>
        <w:t>图 4-3　模型侧配置与自测</w:t>
      </w:r>
    </w:p>
    <w:p>
      <w:pPr>
        <w:pStyle w:val="3"/>
      </w:pPr>
      <w:r>
        <w:rPr>
          <w:rFonts w:ascii="Times New Roman" w:hAnsi="Times New Roman" w:eastAsia="黑体" w:cs="Times New Roman"/>
          <w:b/>
          <w:sz w:val="32"/>
        </w:rPr>
        <w:t>4.3 测试计划</w:t>
      </w:r>
    </w:p>
    <w:p>
      <w:pPr>
        <w:spacing w:line="360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本人针对负责模块设计了卡片交互测试与模型效果评估。测试环境：Node 20 + 飞书企业自建应用；模型用 OpenClaw + DeepSeek。主要用例如下。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769"/>
        <w:gridCol w:w="2769"/>
        <w:gridCol w:w="2769"/>
      </w:tblGrid>
      <w:tr>
        <w:tc>
          <w:tcPr>
            <w:tcW w:type="dxa" w:w="900"/>
            <w:shd w:val="clear" w:color="auto" w:fill="D9E2F3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编号</w:t>
            </w:r>
          </w:p>
        </w:tc>
        <w:tc>
          <w:tcPr>
            <w:tcW w:type="dxa" w:w="3000"/>
            <w:shd w:val="clear" w:color="auto" w:fill="D9E2F3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测试项</w:t>
            </w:r>
          </w:p>
        </w:tc>
        <w:tc>
          <w:tcPr>
            <w:tcW w:type="dxa" w:w="6300"/>
            <w:shd w:val="clear" w:color="auto" w:fill="D9E2F3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预期结果</w:t>
            </w:r>
          </w:p>
        </w:tc>
      </w:tr>
      <w:tr>
        <w:tc>
          <w:tcPr>
            <w:tcW w:type="dxa" w:w="9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TC-01</w:t>
            </w:r>
          </w:p>
        </w:tc>
        <w:tc>
          <w:tcPr>
            <w:tcW w:type="dxa" w:w="30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卡片渲染（mock）</w:t>
            </w:r>
          </w:p>
        </w:tc>
        <w:tc>
          <w:tcPr>
            <w:tcW w:type="dxa" w:w="63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mock 卡片样式、颜色、星级、按钮正确</w:t>
            </w:r>
          </w:p>
        </w:tc>
      </w:tr>
      <w:tr>
        <w:tc>
          <w:tcPr>
            <w:tcW w:type="dxa" w:w="9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TC-02</w:t>
            </w:r>
          </w:p>
        </w:tc>
        <w:tc>
          <w:tcPr>
            <w:tcW w:type="dxa" w:w="30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重要邮件高亮</w:t>
            </w:r>
          </w:p>
        </w:tc>
        <w:tc>
          <w:tcPr>
            <w:tcW w:type="dxa" w:w="63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重要邮件红色卡头 + 🔥 前缀</w:t>
            </w:r>
          </w:p>
        </w:tc>
      </w:tr>
      <w:tr>
        <w:tc>
          <w:tcPr>
            <w:tcW w:type="dxa" w:w="9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TC-03</w:t>
            </w:r>
          </w:p>
        </w:tc>
        <w:tc>
          <w:tcPr>
            <w:tcW w:type="dxa" w:w="30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8 个按钮交互</w:t>
            </w:r>
          </w:p>
        </w:tc>
        <w:tc>
          <w:tcPr>
            <w:tcW w:type="dxa" w:w="63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回传 action+emailId，先 toast 不超时</w:t>
            </w:r>
          </w:p>
        </w:tc>
      </w:tr>
      <w:tr>
        <w:tc>
          <w:tcPr>
            <w:tcW w:type="dxa" w:w="9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TC-04</w:t>
            </w:r>
          </w:p>
        </w:tc>
        <w:tc>
          <w:tcPr>
            <w:tcW w:type="dxa" w:w="30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卡片状态刷新</w:t>
            </w:r>
          </w:p>
        </w:tc>
        <w:tc>
          <w:tcPr>
            <w:tcW w:type="dxa" w:w="63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操作后原卡片 updateCard 正确刷新</w:t>
            </w:r>
          </w:p>
        </w:tc>
      </w:tr>
      <w:tr>
        <w:tc>
          <w:tcPr>
            <w:tcW w:type="dxa" w:w="9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TC-05</w:t>
            </w:r>
          </w:p>
        </w:tc>
        <w:tc>
          <w:tcPr>
            <w:tcW w:type="dxa" w:w="30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查看详情</w:t>
            </w:r>
          </w:p>
        </w:tc>
        <w:tc>
          <w:tcPr>
            <w:tcW w:type="dxa" w:w="63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新发详情卡片，原卡片按钮保留</w:t>
            </w:r>
          </w:p>
        </w:tc>
      </w:tr>
      <w:tr>
        <w:tc>
          <w:tcPr>
            <w:tcW w:type="dxa" w:w="9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TC-06</w:t>
            </w:r>
          </w:p>
        </w:tc>
        <w:tc>
          <w:tcPr>
            <w:tcW w:type="dxa" w:w="30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分类错误纠错</w:t>
            </w:r>
          </w:p>
        </w:tc>
        <w:tc>
          <w:tcPr>
            <w:tcW w:type="dxa" w:w="63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弹分类选择卡片，选择后回传 expectedCategory</w:t>
            </w:r>
          </w:p>
        </w:tc>
      </w:tr>
      <w:tr>
        <w:tc>
          <w:tcPr>
            <w:tcW w:type="dxa" w:w="9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TC-07</w:t>
            </w:r>
          </w:p>
        </w:tc>
        <w:tc>
          <w:tcPr>
            <w:tcW w:type="dxa" w:w="30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失败可见化</w:t>
            </w:r>
          </w:p>
        </w:tc>
        <w:tc>
          <w:tcPr>
            <w:tcW w:type="dxa" w:w="63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后端失败时返回明确文字提示</w:t>
            </w:r>
          </w:p>
        </w:tc>
      </w:tr>
      <w:tr>
        <w:tc>
          <w:tcPr>
            <w:tcW w:type="dxa" w:w="9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TC-08</w:t>
            </w:r>
          </w:p>
        </w:tc>
        <w:tc>
          <w:tcPr>
            <w:tcW w:type="dxa" w:w="30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模型效果评估</w:t>
            </w:r>
          </w:p>
        </w:tc>
        <w:tc>
          <w:tcPr>
            <w:tcW w:type="dxa" w:w="63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分类非清一色 other、重要性非清一色 3、JSON 可解析</w:t>
            </w:r>
          </w:p>
        </w:tc>
      </w:tr>
    </w:tbl>
    <w:p>
      <w:pPr>
        <w:spacing w:after="40"/>
      </w:pPr>
    </w:p>
    <w:p>
      <w:pPr>
        <w:spacing w:before="40" w:after="120"/>
        <w:jc w:val="center"/>
      </w:pPr>
      <w:r>
        <w:rPr>
          <w:rFonts w:ascii="Times New Roman" w:hAnsi="Times New Roman" w:eastAsia="楷体" w:cs="Times New Roman"/>
          <w:b w:val="0"/>
          <w:color w:val="404040"/>
          <w:sz w:val="18"/>
        </w:rPr>
        <w:t>表 4-1　测试用例</w:t>
      </w:r>
    </w:p>
    <w:p>
      <w:pPr>
        <w:pStyle w:val="3"/>
      </w:pPr>
      <w:r>
        <w:rPr>
          <w:rFonts w:ascii="Times New Roman" w:hAnsi="Times New Roman" w:eastAsia="黑体" w:cs="Times New Roman"/>
          <w:b/>
          <w:sz w:val="32"/>
        </w:rPr>
        <w:t>4.4 测试报告</w:t>
      </w:r>
    </w:p>
    <w:p>
      <w:pPr>
        <w:spacing w:line="360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本人对负责模块进行了真实联调与评估，结果如下。</w:t>
      </w:r>
    </w:p>
    <w:p>
      <w:pPr>
        <w:pStyle w:val="15"/>
        <w:spacing w:line="336" w:lineRule="auto" w:after="20"/>
        <w:ind w:left="420"/>
      </w:pPr>
      <w:r>
        <w:rPr>
          <w:rFonts w:ascii="Times New Roman" w:hAnsi="Times New Roman" w:eastAsia="宋体" w:cs="Times New Roman"/>
          <w:b w:val="0"/>
          <w:sz w:val="21"/>
        </w:rPr>
        <w:t>• 卡片联调：三类卡片均能正确渲染；重要邮件红色高亮生效；八个按钮均能回传事件，先 toast 模式下不再出现飞书 3 秒红色超时；标记/归档/删除/纠错等操作后原卡片状态正确刷新；查看详情能新发详情卡片并保留原卡片按钮；分类错误能弹出选择卡片并回传正确分类；后端失败时用户能收到明确文字提示。</w:t>
      </w:r>
    </w:p>
    <w:p>
      <w:pPr>
        <w:pStyle w:val="15"/>
        <w:spacing w:line="336" w:lineRule="auto" w:after="20"/>
        <w:ind w:left="420"/>
      </w:pPr>
      <w:r>
        <w:rPr>
          <w:rFonts w:ascii="Times New Roman" w:hAnsi="Times New Roman" w:eastAsia="宋体" w:cs="Times New Roman"/>
          <w:b w:val="0"/>
          <w:sz w:val="21"/>
        </w:rPr>
        <w:t>• 模型效果评估：完成 Prompt 与参数调优后，分类结果不再清一色退化为 other、重要性不再清一色为 3，输出能稳定解析为合法 JSON、无 Markdown 围栏；分类理由与摘要贴合邮件内容；将大模型关闭后系统回退本地规则仍能正常产出基础分类。</w:t>
      </w:r>
    </w:p>
    <w:p>
      <w:pPr>
        <w:spacing w:line="360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联调中本人定位并根治了“卡片不刷新”的前端缺陷，其跟踪情况如下。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769"/>
        <w:gridCol w:w="2769"/>
        <w:gridCol w:w="2769"/>
      </w:tblGrid>
      <w:tr>
        <w:tc>
          <w:tcPr>
            <w:tcW w:type="dxa" w:w="1100"/>
            <w:shd w:val="clear" w:color="auto" w:fill="D9E2F3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缺陷</w:t>
            </w:r>
          </w:p>
        </w:tc>
        <w:tc>
          <w:tcPr>
            <w:tcW w:type="dxa" w:w="4300"/>
            <w:shd w:val="clear" w:color="auto" w:fill="D9E2F3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现象</w:t>
            </w:r>
          </w:p>
        </w:tc>
        <w:tc>
          <w:tcPr>
            <w:tcW w:type="dxa" w:w="4800"/>
            <w:shd w:val="clear" w:color="auto" w:fill="D9E2F3"/>
          </w:tcPr>
          <w:p>
            <w:pPr>
              <w:spacing w:line="264" w:lineRule="auto" w:after="20" w:before="2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18"/>
              </w:rPr>
              <w:t>修复</w:t>
            </w:r>
          </w:p>
        </w:tc>
      </w:tr>
      <w:tr>
        <w:tc>
          <w:tcPr>
            <w:tcW w:type="dxa" w:w="11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卡片不刷新</w:t>
            </w:r>
          </w:p>
        </w:tc>
        <w:tc>
          <w:tcPr>
            <w:tcW w:type="dxa" w:w="43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查看详情无响应、各操作后卡片状态不变、只弹默认 toast</w:t>
            </w:r>
          </w:p>
        </w:tc>
        <w:tc>
          <w:tcPr>
            <w:tcW w:type="dxa" w:w="4800"/>
          </w:tcPr>
          <w:p>
            <w:pPr>
              <w:spacing w:line="264" w:lineRule="auto" w:after="20" w:before="20"/>
            </w:pPr>
            <w:r/>
            <w:r>
              <w:rPr>
                <w:rFonts w:ascii="Times New Roman" w:hAnsi="Times New Roman" w:eastAsia="宋体" w:cs="Times New Roman"/>
                <w:b w:val="0"/>
                <w:sz w:val="18"/>
              </w:rPr>
              <w:t>bot 端改为“先 toast 再异步 updateCard”：毫秒级返回 toast 停止倒计时，后台 await 后端结果后 patch 原卡片；详情改为新发卡片；失败以文字提示可见化</w:t>
            </w:r>
          </w:p>
        </w:tc>
      </w:tr>
    </w:tbl>
    <w:p>
      <w:pPr>
        <w:spacing w:after="40"/>
      </w:pPr>
    </w:p>
    <w:p>
      <w:pPr>
        <w:spacing w:before="40" w:after="120"/>
        <w:jc w:val="center"/>
      </w:pPr>
      <w:r>
        <w:rPr>
          <w:rFonts w:ascii="Times New Roman" w:hAnsi="Times New Roman" w:eastAsia="楷体" w:cs="Times New Roman"/>
          <w:b w:val="0"/>
          <w:color w:val="404040"/>
          <w:sz w:val="18"/>
        </w:rPr>
        <w:t>表 4-2　缺陷跟踪与修复</w:t>
      </w:r>
    </w:p>
    <w:p>
      <w:pPr>
        <w:spacing w:line="360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综合结果，本人负责的飞书前端已稳定打通“接收推送 → 展示卡片 → 用户点击 → 回传后端 → 刷新卡片/展示详情”的交互闭环，模型调优也使分析效果达到可用水平，共同支撑了 FR-2、FR-3、FR-4、FR-5 的用户侧呈现与分析质量。</w:t>
      </w:r>
    </w:p>
    <w:p>
      <w:r>
        <w:br w:type="page"/>
      </w:r>
    </w:p>
    <w:p>
      <w:pPr>
        <w:pStyle w:val="2"/>
        <w:jc w:val="center"/>
      </w:pPr>
      <w:r>
        <w:rPr>
          <w:rFonts w:ascii="Times New Roman" w:hAnsi="Times New Roman" w:eastAsia="黑体" w:cs="Times New Roman"/>
          <w:b/>
          <w:sz w:val="44"/>
        </w:rPr>
        <w:t>第5章 总结</w:t>
      </w:r>
    </w:p>
    <w:p>
      <w:pPr>
        <w:spacing w:line="360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在本次综合项目实践中，本人负责 EmailClaw 智能邮件管家系统的飞书机器人前端服务与大模型参数调优，完成了面向用户的交互入口与决定分析效果的模型侧工作。具体成果包括：基于飞书 Node SDK 与 WebSocket 长连接搭建的机器人服务、邮件通知/详情/分类选择三类交互式卡片、“先 toast 再异步刷新”的卡片交互闭环，以及 OpenClaw + DeepSeek 的 Prompt 设计与参数调优。</w:t>
      </w:r>
    </w:p>
    <w:p>
      <w:pPr>
        <w:spacing w:line="360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本人工作的难点与收获主要集中在两方面：其一是飞书卡片的交互闭环，飞书 3 秒回调超时与后端较慢的真实业务之间存在矛盾，最初直接返回空响应导致卡片永不刷新，最终通过“先 toast 让飞书停止倒计时、再后台异步 updateCard 刷新原卡片”的模式才得以兼顾不超时与状态刷新，这让我体会到在受平台限制的前端交互中“响应时序设计”的重要性；其二是大模型的 Prompt 与参数调优，大模型并不会天然输出规范结果，通过强约束提示词、字段规范、正文截断与输出归一化，并配合容错重试，才把分类退化与非法 JSON 压到很低，让我认识到 AI 应用中“把模型输出驯化为稳定可用结构”往往比调用本身更关键。</w:t>
      </w:r>
    </w:p>
    <w:p>
      <w:pPr>
        <w:spacing w:line="360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不足之处在于：当前分类纠错虽已回传记录，但尚未形成喂回模型的反馈学习闭环；卡片暂未支持超长正文的分页展示；FR-7 每日摘要卡片也有待实现。后续可在反馈学习、富交互卡片与定时摘要推送方向继续完善。</w:t>
      </w:r>
    </w:p>
    <w:p>
      <w:pPr>
        <w:spacing w:line="360" w:lineRule="auto" w:after="60"/>
        <w:ind w:firstLine="420"/>
        <w:jc w:val="both"/>
      </w:pPr>
      <w:r>
        <w:rPr>
          <w:rFonts w:ascii="Times New Roman" w:hAnsi="Times New Roman" w:eastAsia="宋体" w:cs="Times New Roman"/>
          <w:b w:val="0"/>
          <w:sz w:val="21"/>
        </w:rPr>
        <w:t>通过这部分工作，本人完整经历了从需求分析、交互设计、编码实现到测试联调与缺陷修复的全过程，在第三方开放平台对接、交互时序设计、大模型提示工程与效果评估等方面都得到了切实锻炼，对面向用户的 AI 应用如何做到既好用又准确有了更深入的理解。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615045307"/>
      <w:docPartObj>
        <w:docPartGallery w:val="autotext"/>
      </w:docPartObj>
    </w:sdtPr>
    <w:sdtContent>
      <w:p w14:paraId="0F8B0E58"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4F65AD1"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580BDE"/>
    <w:multiLevelType w:val="multilevel"/>
    <w:tmpl w:val="02580BDE"/>
    <w:lvl w:ilvl="0" w:tentative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1">
    <w:nsid w:val="2D48510D"/>
    <w:multiLevelType w:val="multilevel"/>
    <w:tmpl w:val="2D48510D"/>
    <w:lvl w:ilvl="0" w:tentative="0">
      <w:start w:val="1"/>
      <w:numFmt w:val="decimal"/>
      <w:lvlText w:val="%1"/>
      <w:lvlJc w:val="left"/>
      <w:pPr>
        <w:ind w:left="563" w:hanging="563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">
    <w:nsid w:val="3D6E5E3F"/>
    <w:multiLevelType w:val="multilevel"/>
    <w:tmpl w:val="3D6E5E3F"/>
    <w:lvl w:ilvl="0" w:tentative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8192" w:hanging="2520"/>
      </w:pPr>
      <w:rPr>
        <w:rFonts w:hint="default"/>
      </w:rPr>
    </w:lvl>
  </w:abstractNum>
  <w:abstractNum w:abstractNumId="3">
    <w:nsid w:val="7AC11014"/>
    <w:multiLevelType w:val="multilevel"/>
    <w:tmpl w:val="7AC11014"/>
    <w:lvl w:ilvl="0" w:tentative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1AD"/>
    <w:rsid w:val="0004676A"/>
    <w:rsid w:val="000522A8"/>
    <w:rsid w:val="00054C93"/>
    <w:rsid w:val="00081773"/>
    <w:rsid w:val="00090D8A"/>
    <w:rsid w:val="000A1DE6"/>
    <w:rsid w:val="00100918"/>
    <w:rsid w:val="0013325B"/>
    <w:rsid w:val="001B45CE"/>
    <w:rsid w:val="00222ED9"/>
    <w:rsid w:val="00272000"/>
    <w:rsid w:val="00294016"/>
    <w:rsid w:val="00294DB0"/>
    <w:rsid w:val="002C031C"/>
    <w:rsid w:val="003B0D41"/>
    <w:rsid w:val="003D2E5E"/>
    <w:rsid w:val="00462EA8"/>
    <w:rsid w:val="00536FBB"/>
    <w:rsid w:val="005D6004"/>
    <w:rsid w:val="00636474"/>
    <w:rsid w:val="007474A7"/>
    <w:rsid w:val="007E1BEC"/>
    <w:rsid w:val="007F3AD7"/>
    <w:rsid w:val="00810292"/>
    <w:rsid w:val="00894991"/>
    <w:rsid w:val="008A2B16"/>
    <w:rsid w:val="008E0970"/>
    <w:rsid w:val="00907001"/>
    <w:rsid w:val="00A4486D"/>
    <w:rsid w:val="00A44932"/>
    <w:rsid w:val="00AA4DCD"/>
    <w:rsid w:val="00AF7CCF"/>
    <w:rsid w:val="00B84D09"/>
    <w:rsid w:val="00BB71AD"/>
    <w:rsid w:val="00BE5A18"/>
    <w:rsid w:val="00C0751A"/>
    <w:rsid w:val="00C1020A"/>
    <w:rsid w:val="00DF651D"/>
    <w:rsid w:val="02086CB9"/>
    <w:rsid w:val="02E90BCF"/>
    <w:rsid w:val="042652DF"/>
    <w:rsid w:val="093442BF"/>
    <w:rsid w:val="22942531"/>
    <w:rsid w:val="2378607A"/>
    <w:rsid w:val="40A165BA"/>
    <w:rsid w:val="4103555C"/>
    <w:rsid w:val="49C40380"/>
    <w:rsid w:val="4FB60D07"/>
    <w:rsid w:val="61FC1155"/>
    <w:rsid w:val="6A045A82"/>
    <w:rsid w:val="74F328F6"/>
    <w:rsid w:val="7A9F3A5A"/>
    <w:rsid w:val="7C883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autoRedefine/>
    <w:unhideWhenUsed/>
    <w:qFormat/>
    <w:uiPriority w:val="39"/>
    <w:pPr>
      <w:widowControl/>
      <w:spacing w:after="100" w:line="259" w:lineRule="auto"/>
      <w:ind w:left="440"/>
      <w:jc w:val="left"/>
    </w:pPr>
    <w:rPr>
      <w:rFonts w:asciiTheme="minorHAnsi" w:hAnsiTheme="minorHAnsi" w:eastAsiaTheme="minorEastAsia"/>
      <w:kern w:val="0"/>
      <w:sz w:val="22"/>
      <w:szCs w:val="22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autoRedefine/>
    <w:unhideWhenUsed/>
    <w:qFormat/>
    <w:uiPriority w:val="39"/>
    <w:pPr>
      <w:widowControl/>
      <w:spacing w:after="100" w:line="259" w:lineRule="auto"/>
      <w:jc w:val="left"/>
    </w:pPr>
    <w:rPr>
      <w:rFonts w:asciiTheme="minorHAnsi" w:hAnsiTheme="minorHAnsi" w:eastAsiaTheme="minorEastAsia"/>
      <w:kern w:val="0"/>
      <w:sz w:val="22"/>
      <w:szCs w:val="22"/>
    </w:rPr>
  </w:style>
  <w:style w:type="paragraph" w:styleId="8">
    <w:name w:val="toc 2"/>
    <w:basedOn w:val="1"/>
    <w:next w:val="1"/>
    <w:autoRedefine/>
    <w:unhideWhenUsed/>
    <w:qFormat/>
    <w:uiPriority w:val="39"/>
    <w:pPr>
      <w:widowControl/>
      <w:spacing w:after="100" w:line="259" w:lineRule="auto"/>
      <w:ind w:left="220"/>
      <w:jc w:val="left"/>
    </w:pPr>
    <w:rPr>
      <w:rFonts w:asciiTheme="minorHAnsi" w:hAnsiTheme="minorHAnsi" w:eastAsiaTheme="minorEastAsia"/>
      <w:kern w:val="0"/>
      <w:sz w:val="22"/>
      <w:szCs w:val="22"/>
    </w:rPr>
  </w:style>
  <w:style w:type="table" w:styleId="10">
    <w:name w:val="Table Grid"/>
    <w:basedOn w:val="9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页眉 字符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5"/>
    <w:qFormat/>
    <w:uiPriority w:val="99"/>
    <w:rPr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标题 1 字符"/>
    <w:basedOn w:val="11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  <w14:ligatures w14:val="none"/>
    </w:rPr>
  </w:style>
  <w:style w:type="paragraph" w:customStyle="1" w:styleId="17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104862" w:themeColor="accent1" w:themeShade="BF"/>
      <w:kern w:val="0"/>
      <w:sz w:val="32"/>
      <w:szCs w:val="32"/>
    </w:rPr>
  </w:style>
  <w:style w:type="character" w:customStyle="1" w:styleId="18">
    <w:name w:val="标题 2 字符"/>
    <w:basedOn w:val="11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  <w14:ligatures w14:val="none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7631B6-DE7F-4DD1-9BAB-752ABC788E5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2291</Words>
  <Characters>2600</Characters>
  <Lines>20</Lines>
  <Paragraphs>5</Paragraphs>
  <TotalTime>6</TotalTime>
  <ScaleCrop>false</ScaleCrop>
  <LinksUpToDate>false</LinksUpToDate>
  <CharactersWithSpaces>2756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2024-07-15T02:03:00Z</dcterms:created>
  <dc:creator>8618806770205</dc:creator>
  <cp:lastModifiedBy>tantan</cp:lastModifiedBy>
  <dcterms:modified xsi:type="dcterms:W3CDTF">2026-05-19T06:10:28Z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eyJoZGlkIjoiZjA2MDdkNjhmYWEzNjEwMGI5ZmFmNzM2MTU0ZjlhZjUiLCJ1c2VySWQiOiI3NDM3NjQxOTcifQ==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77863BA5B6A649BAB138F99050D6F9D7_13</vt:lpwstr>
  </property>
</Properties>
</file>