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Excel-First Workbook Schema Specification</w:t>
      </w:r>
      <w:r>
        <w:rPr>
          <w:i/>
          <w:sz w:val="22"/>
        </w:rPr>
        <w:br/>
        <w:t>Version 1.0 — Plain header-based sheets, no Excel Tables/ListObjects</w:t>
      </w:r>
    </w:p>
    <w:p>
      <w:pPr>
        <w:spacing w:after="80"/>
      </w:pPr>
      <w:r>
        <w:rPr>
          <w:sz w:val="21"/>
        </w:rPr>
        <w:t>This document defines the recommended workbook structure for the practice management application. Each data sheet is an informal table with a single header row and data rows underneath. The workbook acts as the Phase 1 data store, while Python owns the business logic.</w:t>
      </w:r>
    </w:p>
    <w:p>
      <w:pPr>
        <w:pStyle w:val="Heading1"/>
      </w:pPr>
      <w:r>
        <w:t>1. Global Workbook Rules</w:t>
      </w:r>
    </w:p>
    <w:p>
      <w:pPr>
        <w:pStyle w:val="ListBullet"/>
      </w:pPr>
      <w:r>
        <w:rPr>
          <w:sz w:val="21"/>
        </w:rPr>
        <w:t>Row 1 is always the header row.</w:t>
      </w:r>
    </w:p>
    <w:p>
      <w:pPr>
        <w:pStyle w:val="ListBullet"/>
      </w:pPr>
      <w:r>
        <w:rPr>
          <w:sz w:val="21"/>
        </w:rPr>
        <w:t>Rows 2+ are data rows.</w:t>
      </w:r>
    </w:p>
    <w:p>
      <w:pPr>
        <w:pStyle w:val="ListBullet"/>
      </w:pPr>
      <w:r>
        <w:rPr>
          <w:sz w:val="21"/>
        </w:rPr>
        <w:t>Do not use formal Excel Tables/ListObjects.</w:t>
      </w:r>
    </w:p>
    <w:p>
      <w:pPr>
        <w:pStyle w:val="ListBullet"/>
      </w:pPr>
      <w:r>
        <w:rPr>
          <w:sz w:val="21"/>
        </w:rPr>
        <w:t>Do not use merged cells on any data sheet.</w:t>
      </w:r>
    </w:p>
    <w:p>
      <w:pPr>
        <w:pStyle w:val="ListBullet"/>
      </w:pPr>
      <w:r>
        <w:rPr>
          <w:sz w:val="21"/>
        </w:rPr>
        <w:t>Do not leave blank rows inside the active dataset.</w:t>
      </w:r>
    </w:p>
    <w:p>
      <w:pPr>
        <w:pStyle w:val="ListBullet"/>
      </w:pPr>
      <w:r>
        <w:rPr>
          <w:sz w:val="21"/>
        </w:rPr>
        <w:t>Every operational sheet must have a stable ID column as the first field where practical.</w:t>
      </w:r>
    </w:p>
    <w:p>
      <w:pPr>
        <w:pStyle w:val="ListBullet"/>
      </w:pPr>
      <w:r>
        <w:rPr>
          <w:sz w:val="21"/>
        </w:rPr>
        <w:t>All business logic should be implemented in Python, not in worksheet formulas.</w:t>
      </w:r>
    </w:p>
    <w:p>
      <w:pPr>
        <w:pStyle w:val="ListBullet"/>
      </w:pPr>
      <w:r>
        <w:rPr>
          <w:sz w:val="21"/>
        </w:rPr>
        <w:t>Report sheets may contain formulas, pivots, or cached outputs, but must not be the source of truth.</w:t>
      </w:r>
    </w:p>
    <w:p>
      <w:pPr>
        <w:pStyle w:val="Heading1"/>
      </w:pPr>
      <w:r>
        <w:t>2. Workbook Sheet Inventory</w:t>
      </w:r>
    </w:p>
    <w:p>
      <w:pPr>
        <w:spacing w:after="80"/>
      </w:pPr>
      <w:r>
        <w:rPr>
          <w:sz w:val="21"/>
        </w:rPr>
        <w:t>System and Lookup Sheets:</w:t>
      </w:r>
    </w:p>
    <w:p>
      <w:pPr>
        <w:pStyle w:val="ListBullet"/>
        <w:ind w:left="360"/>
      </w:pPr>
      <w:r>
        <w:rPr>
          <w:sz w:val="21"/>
        </w:rPr>
        <w:t>System_Settings</w:t>
      </w:r>
    </w:p>
    <w:p>
      <w:pPr>
        <w:pStyle w:val="ListBullet"/>
        <w:ind w:left="360"/>
      </w:pPr>
      <w:r>
        <w:rPr>
          <w:sz w:val="21"/>
        </w:rPr>
        <w:t>System_Users (optional)</w:t>
      </w:r>
    </w:p>
    <w:p>
      <w:pPr>
        <w:pStyle w:val="ListBullet"/>
        <w:ind w:left="360"/>
      </w:pPr>
      <w:r>
        <w:rPr>
          <w:sz w:val="21"/>
        </w:rPr>
        <w:t>Lookup_ClientTypes</w:t>
      </w:r>
    </w:p>
    <w:p>
      <w:pPr>
        <w:pStyle w:val="ListBullet"/>
        <w:ind w:left="360"/>
      </w:pPr>
      <w:r>
        <w:rPr>
          <w:sz w:val="21"/>
        </w:rPr>
        <w:t>Lookup_ClientStatuses</w:t>
      </w:r>
    </w:p>
    <w:p>
      <w:pPr>
        <w:pStyle w:val="ListBullet"/>
        <w:ind w:left="360"/>
      </w:pPr>
      <w:r>
        <w:rPr>
          <w:sz w:val="21"/>
        </w:rPr>
        <w:t>Lookup_MatterStatuses</w:t>
      </w:r>
    </w:p>
    <w:p>
      <w:pPr>
        <w:pStyle w:val="ListBullet"/>
        <w:ind w:left="360"/>
      </w:pPr>
      <w:r>
        <w:rPr>
          <w:sz w:val="21"/>
        </w:rPr>
        <w:t>Lookup_PracticeAreas</w:t>
      </w:r>
    </w:p>
    <w:p>
      <w:pPr>
        <w:pStyle w:val="ListBullet"/>
        <w:ind w:left="360"/>
      </w:pPr>
      <w:r>
        <w:rPr>
          <w:sz w:val="21"/>
        </w:rPr>
        <w:t>Lookup_MatterTypes</w:t>
      </w:r>
    </w:p>
    <w:p>
      <w:pPr>
        <w:pStyle w:val="ListBullet"/>
        <w:ind w:left="360"/>
      </w:pPr>
      <w:r>
        <w:rPr>
          <w:sz w:val="21"/>
        </w:rPr>
        <w:t>Lookup_BillingArrangements</w:t>
      </w:r>
    </w:p>
    <w:p>
      <w:pPr>
        <w:pStyle w:val="ListBullet"/>
        <w:ind w:left="360"/>
      </w:pPr>
      <w:r>
        <w:rPr>
          <w:sz w:val="21"/>
        </w:rPr>
        <w:t>Lookup_ExpenseCategories</w:t>
      </w:r>
    </w:p>
    <w:p>
      <w:pPr>
        <w:pStyle w:val="ListBullet"/>
        <w:ind w:left="360"/>
      </w:pPr>
      <w:r>
        <w:rPr>
          <w:sz w:val="21"/>
        </w:rPr>
        <w:t>Lookup_ActivityCodes</w:t>
      </w:r>
    </w:p>
    <w:p>
      <w:pPr>
        <w:spacing w:after="80"/>
      </w:pPr>
      <w:r>
        <w:rPr>
          <w:sz w:val="21"/>
        </w:rPr>
        <w:t>Core Operational Sheets:</w:t>
      </w:r>
    </w:p>
    <w:p>
      <w:pPr>
        <w:pStyle w:val="ListBullet"/>
        <w:ind w:left="360"/>
      </w:pPr>
      <w:r>
        <w:rPr>
          <w:sz w:val="21"/>
        </w:rPr>
        <w:t>Timekeepers</w:t>
      </w:r>
    </w:p>
    <w:p>
      <w:pPr>
        <w:pStyle w:val="ListBullet"/>
        <w:ind w:left="360"/>
      </w:pPr>
      <w:r>
        <w:rPr>
          <w:sz w:val="21"/>
        </w:rPr>
        <w:t>Clients</w:t>
      </w:r>
    </w:p>
    <w:p>
      <w:pPr>
        <w:pStyle w:val="ListBullet"/>
        <w:ind w:left="360"/>
      </w:pPr>
      <w:r>
        <w:rPr>
          <w:sz w:val="21"/>
        </w:rPr>
        <w:t>ClientContacts</w:t>
      </w:r>
    </w:p>
    <w:p>
      <w:pPr>
        <w:pStyle w:val="ListBullet"/>
        <w:ind w:left="360"/>
      </w:pPr>
      <w:r>
        <w:rPr>
          <w:sz w:val="21"/>
        </w:rPr>
        <w:t>ClientAddresses</w:t>
      </w:r>
    </w:p>
    <w:p>
      <w:pPr>
        <w:pStyle w:val="ListBullet"/>
        <w:ind w:left="360"/>
      </w:pPr>
      <w:r>
        <w:rPr>
          <w:sz w:val="21"/>
        </w:rPr>
        <w:t>Matters</w:t>
      </w:r>
    </w:p>
    <w:p>
      <w:pPr>
        <w:pStyle w:val="ListBullet"/>
        <w:ind w:left="360"/>
      </w:pPr>
      <w:r>
        <w:rPr>
          <w:sz w:val="21"/>
        </w:rPr>
        <w:t>MatterParties</w:t>
      </w:r>
    </w:p>
    <w:p>
      <w:pPr>
        <w:pStyle w:val="ListBullet"/>
        <w:ind w:left="360"/>
      </w:pPr>
      <w:r>
        <w:rPr>
          <w:sz w:val="21"/>
        </w:rPr>
        <w:t>MatterRates</w:t>
      </w:r>
    </w:p>
    <w:p>
      <w:pPr>
        <w:pStyle w:val="ListBullet"/>
        <w:ind w:left="360"/>
      </w:pPr>
      <w:r>
        <w:rPr>
          <w:sz w:val="21"/>
        </w:rPr>
        <w:t>Dockets</w:t>
      </w:r>
    </w:p>
    <w:p>
      <w:pPr>
        <w:pStyle w:val="ListBullet"/>
        <w:ind w:left="360"/>
      </w:pPr>
      <w:r>
        <w:rPr>
          <w:sz w:val="21"/>
        </w:rPr>
        <w:t>Expenses</w:t>
      </w:r>
    </w:p>
    <w:p>
      <w:pPr>
        <w:pStyle w:val="ListBullet"/>
        <w:ind w:left="360"/>
      </w:pPr>
      <w:r>
        <w:rPr>
          <w:sz w:val="21"/>
        </w:rPr>
        <w:t>Deadlines</w:t>
      </w:r>
    </w:p>
    <w:p>
      <w:pPr>
        <w:pStyle w:val="ListBullet"/>
        <w:ind w:left="360"/>
      </w:pPr>
      <w:r>
        <w:rPr>
          <w:sz w:val="21"/>
        </w:rPr>
        <w:t>PreBills</w:t>
      </w:r>
    </w:p>
    <w:p>
      <w:pPr>
        <w:pStyle w:val="ListBullet"/>
        <w:ind w:left="360"/>
      </w:pPr>
      <w:r>
        <w:rPr>
          <w:sz w:val="21"/>
        </w:rPr>
        <w:t>Invoices</w:t>
      </w:r>
    </w:p>
    <w:p>
      <w:pPr>
        <w:pStyle w:val="ListBullet"/>
        <w:ind w:left="360"/>
      </w:pPr>
      <w:r>
        <w:rPr>
          <w:sz w:val="21"/>
        </w:rPr>
        <w:t>InvoiceLines</w:t>
      </w:r>
    </w:p>
    <w:p>
      <w:pPr>
        <w:pStyle w:val="ListBullet"/>
        <w:ind w:left="360"/>
      </w:pPr>
      <w:r>
        <w:rPr>
          <w:sz w:val="21"/>
        </w:rPr>
        <w:t>Payments (later)</w:t>
      </w:r>
    </w:p>
    <w:p>
      <w:pPr>
        <w:spacing w:after="80"/>
      </w:pPr>
      <w:r>
        <w:rPr>
          <w:sz w:val="21"/>
        </w:rPr>
        <w:t>Working / Reporting Sheets:</w:t>
      </w:r>
    </w:p>
    <w:p>
      <w:pPr>
        <w:pStyle w:val="ListBullet"/>
        <w:ind w:left="360"/>
      </w:pPr>
      <w:r>
        <w:rPr>
          <w:sz w:val="21"/>
        </w:rPr>
        <w:t>Dashboard</w:t>
      </w:r>
    </w:p>
    <w:p>
      <w:pPr>
        <w:pStyle w:val="ListBullet"/>
        <w:ind w:left="360"/>
      </w:pPr>
      <w:r>
        <w:rPr>
          <w:sz w:val="21"/>
        </w:rPr>
        <w:t>Report_Productivity</w:t>
      </w:r>
    </w:p>
    <w:p>
      <w:pPr>
        <w:pStyle w:val="ListBullet"/>
        <w:ind w:left="360"/>
      </w:pPr>
      <w:r>
        <w:rPr>
          <w:sz w:val="21"/>
        </w:rPr>
        <w:t>Report_MatterAnalysis</w:t>
      </w:r>
    </w:p>
    <w:p>
      <w:pPr>
        <w:pStyle w:val="ListBullet"/>
        <w:ind w:left="360"/>
      </w:pPr>
      <w:r>
        <w:rPr>
          <w:sz w:val="21"/>
        </w:rPr>
        <w:t>Report_WIP</w:t>
      </w:r>
    </w:p>
    <w:p>
      <w:pPr>
        <w:pStyle w:val="ListBullet"/>
        <w:ind w:left="360"/>
      </w:pPr>
      <w:r>
        <w:rPr>
          <w:sz w:val="21"/>
        </w:rPr>
        <w:t>Report_Billing</w:t>
      </w:r>
    </w:p>
    <w:p>
      <w:pPr>
        <w:pStyle w:val="ListBullet"/>
        <w:ind w:left="360"/>
      </w:pPr>
      <w:r>
        <w:rPr>
          <w:sz w:val="21"/>
        </w:rPr>
        <w:t>Report_Deadlines</w:t>
      </w:r>
    </w:p>
    <w:p>
      <w:pPr>
        <w:pStyle w:val="ListBullet"/>
        <w:ind w:left="360"/>
      </w:pPr>
      <w:r>
        <w:rPr>
          <w:sz w:val="21"/>
        </w:rPr>
        <w:t>CalendarSyncLog</w:t>
      </w:r>
    </w:p>
    <w:p>
      <w:pPr>
        <w:pStyle w:val="ListBullet"/>
        <w:ind w:left="360"/>
      </w:pPr>
      <w:r>
        <w:rPr>
          <w:sz w:val="21"/>
        </w:rPr>
        <w:t>Import_Staging</w:t>
      </w:r>
    </w:p>
    <w:p>
      <w:pPr>
        <w:pStyle w:val="ListBullet"/>
        <w:ind w:left="360"/>
      </w:pPr>
      <w:r>
        <w:rPr>
          <w:sz w:val="21"/>
        </w:rPr>
        <w:t>Export_InvoicePreview</w:t>
      </w:r>
    </w:p>
    <w:p>
      <w:pPr>
        <w:pStyle w:val="Heading1"/>
      </w:pPr>
      <w:r>
        <w:t>3. Detailed Sheet Specifications</w:t>
      </w:r>
    </w:p>
    <w:p>
      <w:pPr>
        <w:pStyle w:val="Heading2"/>
      </w:pPr>
      <w:r>
        <w:t>System_Settings</w:t>
      </w:r>
    </w:p>
    <w:p>
      <w:pPr>
        <w:spacing w:after="80"/>
      </w:pPr>
      <w:r>
        <w:rPr>
          <w:sz w:val="21"/>
        </w:rPr>
        <w:t>Recommended use: System_Settings stores one row per system_setting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SettingKey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key name for a system setting.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SettingValue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Stored value for the setting.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Human-readable explanation of the setting.</w:t>
            </w:r>
          </w:p>
        </w:tc>
      </w:tr>
    </w:tbl>
    <w:p>
      <w:pPr>
        <w:pStyle w:val="Heading2"/>
      </w:pPr>
      <w:r>
        <w:t>Timekeepers</w:t>
      </w:r>
    </w:p>
    <w:p>
      <w:pPr>
        <w:spacing w:after="80"/>
      </w:pPr>
      <w:r>
        <w:rPr>
          <w:sz w:val="21"/>
        </w:rPr>
        <w:t>Recommended use: Timekeepers stores one row per timekeeper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TimekeeperID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ID for the timekeeper.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Initials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Short code or initials.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DisplayName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Name shown in the application.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Lawyer, clerk, assistant, admin,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Primary email.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Primary phone.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DefaultHourlyRate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Default rate used when no override exists.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BillingTargetHoursMonthly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Productivity target.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TRUE/FALSE or Active/Inactive.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Start date.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EndDate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End date if inactive.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General notes.</w:t>
            </w:r>
          </w:p>
        </w:tc>
      </w:tr>
    </w:tbl>
    <w:p>
      <w:pPr>
        <w:pStyle w:val="Heading2"/>
      </w:pPr>
      <w:r>
        <w:t>Clients</w:t>
      </w:r>
    </w:p>
    <w:p>
      <w:pPr>
        <w:spacing w:after="80"/>
      </w:pPr>
      <w:r>
        <w:rPr>
          <w:sz w:val="21"/>
        </w:rPr>
        <w:t>Recommended use: Clients stores one row per client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client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ClientCode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Human-facing short code.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ClientType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Individual, corporation, trust, estate,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LegalName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Full legal name.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DisplayName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Short display label.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Active, inactive, archived, prospective,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OpenDate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Client opened date.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CloseDate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Client closed date.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ResponsibleLawyerID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Primary internal lawyer.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ReferralSource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Origin of the client.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Industry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Industry or client category.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PreferredContactMethod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Phone, email,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PreferredLanguage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Language preference.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BillingName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Invoice addressee if different from legal name.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BillingEmail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Invoice delivery email.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PaymentTerms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Net 30, due on receipt,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TaxExemptFlag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tax applies.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CreditHoldFlag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Block or warn on new activity.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RetainerRequiredFlag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retainer/trust is expected.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General notes, sensitivity notes, conflict reminders.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</w:tbl>
    <w:p>
      <w:pPr>
        <w:pStyle w:val="Heading2"/>
      </w:pPr>
      <w:r>
        <w:t>ClientContacts</w:t>
      </w:r>
    </w:p>
    <w:p>
      <w:pPr>
        <w:spacing w:after="80"/>
      </w:pPr>
      <w:r>
        <w:rPr>
          <w:sz w:val="21"/>
        </w:rPr>
        <w:t>Recommended use: ClientContacts stores one row per clientcontact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ClientContactID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client contact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client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ContactName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Contact full name.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Role/title.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Email address.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Phone number.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Mobile number.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IsPrimary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Primary client contact.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IsBillingContact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Invoice-related contact.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Notes.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TRUE/FALSE or Active/Inactive.</w:t>
            </w:r>
          </w:p>
        </w:tc>
      </w:tr>
    </w:tbl>
    <w:p>
      <w:pPr>
        <w:pStyle w:val="Heading2"/>
      </w:pPr>
      <w:r>
        <w:t>ClientAddresses</w:t>
      </w:r>
    </w:p>
    <w:p>
      <w:pPr>
        <w:spacing w:after="80"/>
      </w:pPr>
      <w:r>
        <w:rPr>
          <w:sz w:val="21"/>
        </w:rPr>
        <w:t>Recommended use: ClientAddresses stores one row per clientaddresse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ClientAddressID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address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client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AddressType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Mailing, billing, service, physical.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Attention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Attention line.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Line1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Address line 1.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Line2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Address line 2.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City.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ProvinceState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Province or state.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PostalCode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Postal / ZIP code.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Country.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IsDefault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Default address for that type.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TRUE/FALSE or Active/Inactive.</w:t>
            </w:r>
          </w:p>
        </w:tc>
      </w:tr>
    </w:tbl>
    <w:p>
      <w:pPr>
        <w:pStyle w:val="Heading2"/>
      </w:pPr>
      <w:r>
        <w:t>Matters</w:t>
      </w:r>
    </w:p>
    <w:p>
      <w:pPr>
        <w:spacing w:after="80"/>
      </w:pPr>
      <w:r>
        <w:rPr>
          <w:sz w:val="21"/>
        </w:rPr>
        <w:t>Recommended use: Matters stores one row per matter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matter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MatterNumber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File number / matter number.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client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MatterName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Matter short title.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MatterDescription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Longer description.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PracticeArea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Practice area category.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MatterType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Subtype within practice area.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Prospective, active, on hold, closed, archived.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OpenDate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Matter open date.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CloseDate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Matter close date.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ResponsibleLawyerID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Primary responsible lawyer.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SupervisingLawyerID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Supervisor / partner.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AssistantID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Assistant / clerk.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BillingArrangement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Hourly, fixed, capped, contingency, non-billable.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DefaultRateCardID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rate card if used.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BudgetAmount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Matter budget in currency.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BudgetHours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Matter budget in hours.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RetainerRequiredFlag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retainer is expected.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TrustMatterFlag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trust handling applies.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InvoiceContactNameOverride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Matter-level billing override.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InvoiceEmailOverride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Matter-level invoice email.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BillingAddressOverrideID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 to alternate billing address.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POReference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 / reference number.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CourtTribunal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Court / tribunal reference.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OpposingParty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Main opposing party summary.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Jurisdiction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Jurisdiction.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SensitivityFlag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Sensitive / restricted matter marker.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General notes.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</w:tbl>
    <w:p>
      <w:pPr>
        <w:pStyle w:val="Heading2"/>
      </w:pPr>
      <w:r>
        <w:t>MatterParties</w:t>
      </w:r>
    </w:p>
    <w:p>
      <w:pPr>
        <w:spacing w:after="80"/>
      </w:pPr>
      <w:r>
        <w:rPr>
          <w:sz w:val="21"/>
        </w:rPr>
        <w:t>Recommended use: MatterParties stores one row per matterpartie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MatterPartyID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matter-party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matter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PartyType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Opposing, related, witness,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PartyName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Party name.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ContactInfo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Contact details.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Notes.</w:t>
            </w:r>
          </w:p>
        </w:tc>
      </w:tr>
    </w:tbl>
    <w:p>
      <w:pPr>
        <w:pStyle w:val="Heading2"/>
      </w:pPr>
      <w:r>
        <w:t>MatterRates</w:t>
      </w:r>
    </w:p>
    <w:p>
      <w:pPr>
        <w:spacing w:after="80"/>
      </w:pPr>
      <w:r>
        <w:rPr>
          <w:sz w:val="21"/>
        </w:rPr>
        <w:t>Recommended use: MatterRates stores one row per matterrate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MatterRateID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matter-rate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matter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TimekeeperID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timekeeper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Hourly rate override.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EffectiveFrom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Effective date start.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EffectiveTo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Effective date end.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TRUE/FALSE or Active/Inactive.</w:t>
            </w:r>
          </w:p>
        </w:tc>
      </w:tr>
    </w:tbl>
    <w:p>
      <w:pPr>
        <w:pStyle w:val="Heading2"/>
      </w:pPr>
      <w:r>
        <w:t>Dockets</w:t>
      </w:r>
    </w:p>
    <w:p>
      <w:pPr>
        <w:spacing w:after="80"/>
      </w:pPr>
      <w:r>
        <w:rPr>
          <w:sz w:val="21"/>
        </w:rPr>
        <w:t>Recommended use: Dockets stores one row per docket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DocketID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docket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EntryDate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Date of entry/work.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TimekeeperID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timekeeper.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client.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matter.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ActivityCode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Activity classification.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Narrative description.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Time quantity in hours.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RateUsed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Rate used at creation time.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Computed fees value.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BillableFlag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the entry is billable.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BilledFlag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the entry has been billed.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invoice if billed.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NarrativeEditedFlag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billing narrative has been manually edited.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TimerSource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Manual, timer, imported,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</w:tbl>
    <w:p>
      <w:pPr>
        <w:pStyle w:val="Heading2"/>
      </w:pPr>
      <w:r>
        <w:t>Expenses</w:t>
      </w:r>
    </w:p>
    <w:p>
      <w:pPr>
        <w:spacing w:after="80"/>
      </w:pPr>
      <w:r>
        <w:rPr>
          <w:sz w:val="21"/>
        </w:rPr>
        <w:t>Recommended use: Expenses stores one row per expense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ExpenseID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expense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EntryDate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Date incurred.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client.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matter.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ExpenseCategory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Category label.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Vendor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Vendor/payee.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Expense narrative.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Expense amount.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TaxAmount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Tax amount.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ReimbursableFlag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reimbursable to client.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BilledFlag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already billed.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invoice if billed.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ReceiptPath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Path to scanned receipt or attachment.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</w:tbl>
    <w:p>
      <w:pPr>
        <w:pStyle w:val="Heading2"/>
      </w:pPr>
      <w:r>
        <w:t>Deadlines</w:t>
      </w:r>
    </w:p>
    <w:p>
      <w:pPr>
        <w:spacing w:after="80"/>
      </w:pPr>
      <w:r>
        <w:rPr>
          <w:sz w:val="21"/>
        </w:rPr>
        <w:t>Recommended use: Deadlines stores one row per deadline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DeadlineID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deadline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client.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matter.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Deadline title.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Longer description.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Court, filing, reminder, limitation, internal,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DueDate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Due date.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DueTime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Due time if relevant.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ResponsibleUserID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Primary responsible user/timekeeper.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BackupUserID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Backup responsible user.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Low/Medium/High/Critical or similar.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Open, completed, cancelled, overdue,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ReminderDaysBefore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Reminder lead time.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CalendarSyncFlag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Whether to sync to Google Calendar later.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GoogleEventID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Google event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CompletedDate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Completion date.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Notes.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Audit field.</w:t>
            </w:r>
          </w:p>
        </w:tc>
      </w:tr>
    </w:tbl>
    <w:p>
      <w:pPr>
        <w:pStyle w:val="Heading2"/>
      </w:pPr>
      <w:r>
        <w:t>PreBills</w:t>
      </w:r>
    </w:p>
    <w:p>
      <w:pPr>
        <w:spacing w:after="80"/>
      </w:pPr>
      <w:r>
        <w:rPr>
          <w:sz w:val="21"/>
        </w:rPr>
        <w:t>Recommended use: PreBills stores one row per prebill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PreBillID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prebill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client.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matter or blank if grouped more broadly.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PeriodStart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Start of billing period.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PeriodEnd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End of billing period.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GeneratedAt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Generation timestamp.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GeneratedBy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User who generated the prebill.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Draft, reviewed, approved,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Notes.</w:t>
            </w:r>
          </w:p>
        </w:tc>
      </w:tr>
    </w:tbl>
    <w:p>
      <w:pPr>
        <w:pStyle w:val="Heading2"/>
      </w:pPr>
      <w:r>
        <w:t>Invoices</w:t>
      </w:r>
    </w:p>
    <w:p>
      <w:pPr>
        <w:spacing w:after="80"/>
      </w:pPr>
      <w:r>
        <w:rPr>
          <w:sz w:val="21"/>
        </w:rPr>
        <w:t>Recommended use: Invoices stores one row per invoice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invoice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InvoiceNumber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Human-facing invoice number.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ClientID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client.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MatterID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matter.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Invoice date.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PeriodStart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Billing period start.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PeriodEnd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Billing period end.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BillingAddressID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billing address.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InvoiceEmail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Email used for invoice delivery.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Terms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Invoice payment terms.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FeesSubtotal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Fees subtotal.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ExpensesSubtotal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Expenses subtotal.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TaxTotal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Tax total.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Invoice total.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Draft, final, sent, paid, void,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PDFPath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Path to generated PDF.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SentDate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Date sent.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PaidDate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Date fully paid.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Notes.</w:t>
            </w:r>
          </w:p>
        </w:tc>
      </w:tr>
    </w:tbl>
    <w:p>
      <w:pPr>
        <w:pStyle w:val="Heading2"/>
      </w:pPr>
      <w:r>
        <w:t>InvoiceLines</w:t>
      </w:r>
    </w:p>
    <w:p>
      <w:pPr>
        <w:spacing w:after="80"/>
      </w:pPr>
      <w:r>
        <w:rPr>
          <w:sz w:val="21"/>
        </w:rPr>
        <w:t>Recommended use: InvoiceLines stores one row per invoiceline record, with headers in row 1 and data beginning in row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Header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Required?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InvoiceLineID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Unique invoice line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InvoiceID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invoice.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SourceType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Docket, expense, manual, etc.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SourceID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Linked source record ID.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LineDate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Line date.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Printed line description.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Quantity/hours/units.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Rate if applicable.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Line amount.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TaxAmount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Tax for the line.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SortOrder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Presentation order.</w:t>
            </w:r>
          </w:p>
        </w:tc>
      </w:tr>
    </w:tbl>
    <w:p>
      <w:pPr>
        <w:pStyle w:val="Heading1"/>
      </w:pPr>
      <w:r>
        <w:t>4. Relationship and Validation Rules</w:t>
      </w:r>
    </w:p>
    <w:p>
      <w:pPr>
        <w:spacing w:after="80"/>
      </w:pPr>
      <w:r>
        <w:rPr>
          <w:sz w:val="21"/>
        </w:rPr>
        <w:t>The workbook should be treated like a relational system even though storage is Excel-based.</w:t>
      </w:r>
    </w:p>
    <w:p>
      <w:pPr>
        <w:pStyle w:val="ListBullet"/>
      </w:pPr>
      <w:r>
        <w:rPr>
          <w:sz w:val="21"/>
        </w:rPr>
        <w:t>Matters.ClientID must point to an existing Clients.ClientID.</w:t>
      </w:r>
    </w:p>
    <w:p>
      <w:pPr>
        <w:pStyle w:val="ListBullet"/>
      </w:pPr>
      <w:r>
        <w:rPr>
          <w:sz w:val="21"/>
        </w:rPr>
        <w:t>ClientContacts.ClientID and ClientAddresses.ClientID must point to an existing Clients.ClientID.</w:t>
      </w:r>
    </w:p>
    <w:p>
      <w:pPr>
        <w:pStyle w:val="ListBullet"/>
      </w:pPr>
      <w:r>
        <w:rPr>
          <w:sz w:val="21"/>
        </w:rPr>
        <w:t>MatterRates.MatterID must point to Matters.MatterID and MatterRates.TimekeeperID must point to Timekeepers.TimekeeperID.</w:t>
      </w:r>
    </w:p>
    <w:p>
      <w:pPr>
        <w:pStyle w:val="ListBullet"/>
      </w:pPr>
      <w:r>
        <w:rPr>
          <w:sz w:val="21"/>
        </w:rPr>
        <w:t>Dockets and Expenses must always reference valid MatterID and ClientID values.</w:t>
      </w:r>
    </w:p>
    <w:p>
      <w:pPr>
        <w:pStyle w:val="ListBullet"/>
      </w:pPr>
      <w:r>
        <w:rPr>
          <w:sz w:val="21"/>
        </w:rPr>
        <w:t>Deadlines must always reference a valid MatterID and ClientID unless you explicitly support client-only deadlines.</w:t>
      </w:r>
    </w:p>
    <w:p>
      <w:pPr>
        <w:pStyle w:val="ListBullet"/>
      </w:pPr>
      <w:r>
        <w:rPr>
          <w:sz w:val="21"/>
        </w:rPr>
        <w:t>InvoiceLines.InvoiceID must point to Invoices.InvoiceID.</w:t>
      </w:r>
    </w:p>
    <w:p>
      <w:pPr>
        <w:pStyle w:val="ListBullet"/>
      </w:pPr>
      <w:r>
        <w:rPr>
          <w:sz w:val="21"/>
        </w:rPr>
        <w:t>All ID columns must be unique within their sheet.</w:t>
      </w:r>
    </w:p>
    <w:p>
      <w:pPr>
        <w:pStyle w:val="ListBullet"/>
      </w:pPr>
      <w:r>
        <w:rPr>
          <w:sz w:val="21"/>
        </w:rPr>
        <w:t>Header validation should run at application startup before any read/write operations.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