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exact" w:line="960" w:before="1720" w:after="400"/>
        <w:ind w:left="0" w:right="0"/>
        <w:jc w:val="center"/>
      </w:pPr>
      <w:r>
        <w:rPr>
          <w:rFonts w:ascii="Times New Roman" w:hAnsi="Times New Roman" w:cs="Times New Roman" w:eastAsia="方正小标宋简体"/>
          <w:b/>
          <w:color w:val="FF0000"/>
          <w:sz w:val="136"/>
          <w:w w:val="37"/>
          <w:fitText w:val="8195" w:id="1"/>
        </w:rPr>
        <w:t>示例城市建设控股有限公司文件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32"/>
              </w:rPr>
              <w:t>示例控股字〔2026〕1号</w:t>
            </w:r>
          </w:p>
        </w:tc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楷体_GB2312"/>
                <w:b w:val="0"/>
                <w:sz w:val="32"/>
              </w:rPr>
              <w:t>签发人：〔示例〕</w:t>
            </w:r>
          </w:p>
        </w:tc>
      </w:tr>
    </w:tbl>
    <w:p>
      <w:pPr>
        <w:keepNext/>
        <w:widowControl/>
        <w:spacing w:lineRule="exact" w:line="600" w:before="480" w:after="48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示例城市建设控股有限公司</w:t>
        <w:br/>
      </w:r>
      <w:r>
        <w:rPr>
          <w:rFonts w:ascii="Times New Roman" w:hAnsi="Times New Roman" w:cs="Times New Roman" w:eastAsia="方正小标宋简体"/>
          <w:b w:val="0"/>
          <w:sz w:val="44"/>
        </w:rPr>
        <w:t>关于2025年度股权投资项目投后情况报告</w:t>
      </w:r>
    </w:p>
    <w:p>
      <w:pPr>
        <w:keepNext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国资监管部门：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依据国有企业投资监督管理有关规定，现将公司2025年度股权投资项目投后管理情况报告如下：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一、年度股权投资完成总体情况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（一）存续基金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2025年12月31日，公司存续基金1支，为示例产业基金。公司认缴及实缴出资均为1000万元，持有10%的合伙份额。基金已完成对5个项目的投资，报告期内新增投资1个、退出项目1个，存续投资项目经营情况总体稳定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示例产业基金实缴规模为1亿元，投资成本合计8200万元，已回收本金及收益1460万元，期末基金净资产为1.08亿元。上述数据为本通用模板的合成示例，正式报告应以基金管理人出具的最新报告和经确认的财务数据为准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公司按季度跟踪基金投资进度、估值变化及退出安排，重点核查资金使用、重大事项决策和风险处置情况，并通过合伙人会议审议年度报告、估值和分配事项。基金详细情况见附件1。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（二）新设基金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报告期内，公司新设示例科创基金，认缴出资500万元，截至期末已实缴250万元。基金已完成工商设立、合伙协议签署及首期出资，投资期、管理费、决策机制和关联交易管理按协议执行。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科创基金重点关注先进制造、数字基础设施和绿色低碳领域，报告期内完成项目储备和初步论证，尚未开展对外投资。公司已要求管理人加强项目来源、投资节奏和资金使用计划管理，在提交投资决策前完整披露关联关系、估值依据和退出安排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（三）参股公司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1.示例科技有限公司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公司对示例科技有限公司投资800万元，持股8%。截至2025年12月31日，企业资产总额4200万元、净资产1850万元；2025年度实现营业收入2350万元、净利润135万元，营业收入和净利润分别较上年增长11.90%和12.50%。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围绕核心软件和设备产品持续拓展客户，报告期内新增合同金额980万元，研发投入占营业收入的9.20%。受部分客户结算周期延长影响，期末应收账款为920万元，较期初增加240万元，经营性现金流承压。公司已要求企业按客户、合同和账龄建立回款台账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报告期内，企业完成2次股东会和3次董事会审议事项，未发生影响公司股东权益的异常表决。公司持续跟踪预算执行、融资安排和投资协议约定事项，具体治理、经营、财务及风险情况见附件2。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2.示例智能装备有限公司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公司对示例智能装备有限公司投资600万元，持股12%。截至报告期末，企业资产总额1680万元、净资产910万元；2025年度实现营业收入1280万元、净利润64万元，完成年度收入预算的91.43%。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报告期内共有9个在执行合同，合同总额1560万元，其中6个项目已完成交付或验收，3个项目处于安装调试阶段。受个别项目验收进度影响，部分收入未在报告期内确认。企业现有授权专利14项，报告期内新增3项，与主营产品相关的知识产权权属清晰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根据投资协议约定，企业下一年度需达到相应经营指标。公司已督促企业细化订单转化、项目验收和回款计划，并按月跟踪预算偏差及现金余额；如触及协议约定的保护性条款，将及时履行内部决策程序。具体情况见附件3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（四）示例协同发展SPV项目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示例协同发展合伙企业（有限合伙）处于存续期，公司实缴出资300万元，持有30%的合伙份额。报告期内未新增对外投资，合伙企业按约定开展存量资产管理、债权回收和收益分配准备工作。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1120万元，报告期内累计回收款项180万元，尚未达到协议约定的分配条件。公司通过合伙人会议持续跟踪资产处置、诉讼执行和合作方履约情况，并要求执行事务合伙人按季度提供回收明细和费用清单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公司已对主要债权逐项建立投后台账，结合债务人偿付能力和司法进展更新预计回收时间，重点关注处置周期延长及回收金额不确定风险。SPV项目治理、资产及回收情况见附件4。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（五）示例专项债权SPV项目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示例专项债权合伙企业（有限合伙）处于存续期，公司实缴出资200万元，持有20%的合伙份额。报告期内未新增对外投资，合伙企业按约定开展债权确权、诉讼推进和资产处置准备工作。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860万元，报告期内累计回收款项120万元，尚未达到协议约定的分配条件。公司通过合伙人会议跟踪债权确权、诉讼执行和资产处置进展，重点关注处置周期延长及回收金额不确定风险。该SPV项目治理、资产及回收情况见附件4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二、重大投资项目进展情况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（一）示例科技有限公司经营及回款情况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科技有限公司围绕核心产品持续拓展客户，营业收入保持增长。受部分客户结算周期延长影响，期末应收账款余额上升。其中，账龄一年以内应收账款占比为78%，前五名客户应收账款占比为62%，回款进度对企业现金流影响较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督促企业压实回款责任，按客户形成台账并明确责任人和预计回款日期，将回款完成情况纳入月度投后跟踪。对逾期项目，企业正在通过对账确认、分期回收和合同约定措施推进处置；截至报告期末，未形成需要单项重大披露的坏账损失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截至报告期末，尚未发生触发投资协议约定回购条款的事项。公司将持续关注经营现金流、主要客户集中度、应收账款减值及融资安排，必要时依法依约采取股东权利保护措施。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（二）示例产业基金退出安排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产业基金已进入投后管理阶段，管理人正结合被投企业经营情况研究分阶段退出方案。报告期内完成1个项目退出，回收本金600万元、投资收益160万元；其余项目拟通过股权转让、并购整合或协议约定方式择机退出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公司已要求管理人逐项目明确估值依据、预计退出路径、时间安排和最低回收目标，对退出周期延长、估值下调及交易对手履约风险形成专项说明，并在合伙人会议上持续跟踪。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（三）SPV项目资产回收情况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报告期内，示例协同发展合伙企业围绕存量债权持续推进协商、诉讼和执行工作，累计回收180万元。部分债权受抵质押物处置程序和债务人偿付能力影响，实际回收时间仍存在不确定性。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下一步，公司将围绕投资协议约定和年度投后管理计划，持续做好项目分类管理、风险监测和退出推动工作，及时履行重大事项报告程序，切实维护国有出资权益。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附件：1.股权投资基金投后管理报告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2.示例科技有限公司投后管理报告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3.示例智能装备有限公司投后管理报告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4.SPV项目投后管理报告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示例城市建设控股有限公司</w:t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2026年3月31日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附件1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股权投资基金投后管理报告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一、基金总体情况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p>
      <w:pPr>
        <w:keepNext/>
        <w:widowControl/>
        <w:spacing w:lineRule="exact" w:line="560" w:before="0" w:after="0"/>
        <w:ind w:left="0" w:right="0"/>
        <w:jc w:val="center"/>
      </w:pPr>
      <w:r>
        <w:rPr>
          <w:rFonts w:ascii="Times New Roman" w:hAnsi="Times New Roman" w:cs="Times New Roman" w:eastAsia="黑体"/>
          <w:b w:val="0"/>
          <w:sz w:val="24"/>
        </w:rPr>
        <w:t>在管基金出资及份额情况表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 w:val="true"/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基金名称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认缴出资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实缴出资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持有份额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示例产业基金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存续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示例科创基金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250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已设立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公司按协议获取基金定期报告，跟踪投资、估值、退出和风险事项，并通过合伙人会议履行出资人职责。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附件2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示例科技有限公司投后管理报告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一、公司治理情况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报告期内，公司依法参加2次股东会并跟踪3次董事会决议执行情况。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二、经营及财务情况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p>
      <w:pPr>
        <w:keepNext/>
        <w:widowControl/>
        <w:spacing w:lineRule="exact" w:line="560" w:before="0" w:after="0"/>
        <w:ind w:left="0" w:right="0"/>
        <w:jc w:val="center"/>
      </w:pPr>
      <w:r>
        <w:rPr>
          <w:rFonts w:ascii="Times New Roman" w:hAnsi="Times New Roman" w:cs="Times New Roman" w:eastAsia="黑体"/>
          <w:b w:val="0"/>
          <w:sz w:val="24"/>
        </w:rPr>
        <w:t>示例科技有限公司主要财务指标表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 w:val="true"/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指标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2024年度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2025年度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变动说明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营业收入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2100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2350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核心客户订单增加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净利润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120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135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毛利改善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应收账款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680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920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结算周期延长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三、主要风险及措施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主要风险为应收账款回收周期延长，期末应收账款为920万元。公司已推动企业建立客户回款台账并按月报告。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附件3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示例智能装备有限公司投后管理报告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一、项目总体情况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公司对示例智能装备有限公司投资600万元，持股12%。本附件使用合成示例数据展示可复用结构，正式报告应依据项目资料替换。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二、投后管理结论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报告期内共有9个在执行合同，现有授权专利14项，未发现需要在主报告中单列披露的其他重大事项。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附件4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SPV项目投后管理报告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一、合伙企业治理情况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公司实缴出资300万元、持有30%的合伙份额，合伙企业按合伙协议召开合伙人会议并报告存量资产管理事项。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二、收益回收及风险情况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报告期内未新增投资；期末账面资产1120万元，累计回收180万元。公司持续跟踪资产处置、收益分配和合作方履约情况。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3333" w:type="pct"/>
            <w:vAlign w:val="center"/>
            <w:tcBorders>
              <w:left w:val="nil"/>
              <w:right w:val="nil"/>
              <w:insideH w:val="nil"/>
              <w:insideV w:val="nil"/>
              <w:top w:val="single" w:sz="12" w:space="0" w:color="auto"/>
              <w:bottom w:val="single" w:sz="12" w:space="0" w:color="auto"/>
            </w:tcBorders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28"/>
              </w:rPr>
              <w:t>示例城市建设控股有限公司综合办公室</w:t>
            </w:r>
          </w:p>
        </w:tc>
        <w:tc>
          <w:tcPr>
            <w:tcW w:w="1667" w:type="pct"/>
            <w:vAlign w:val="center"/>
            <w:tcBorders>
              <w:left w:val="nil"/>
              <w:right w:val="nil"/>
              <w:insideH w:val="nil"/>
              <w:insideV w:val="nil"/>
              <w:top w:val="single" w:sz="12" w:space="0" w:color="auto"/>
              <w:bottom w:val="single" w:sz="12" w:space="0" w:color="auto"/>
            </w:tcBorders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仿宋_GB2312"/>
                <w:b w:val="0"/>
                <w:sz w:val="28"/>
              </w:rPr>
              <w:t>2026年3月31日印发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righ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lef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示例城市建设控股有限公司关于2025年度股权投资项目投后情况报告</dc:title>
  <dc:subject>股权投资项目投后情况报告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  <dc:identifier>soe-post-investment-report:sha256:78b5a58cce6432a20bafde0dcb9cdb275248628cc0c54db0110d3c12cb6e86d9</dc:identifier>
</cp:coreProperties>
</file>