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exact" w:line="960" w:before="1720" w:after="40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/>
          <w:color w:val="FF0000"/>
          <w:sz w:val="136"/>
          <w:w w:val="37"/>
          <w:fitText w:val="8195" w:id="1"/>
        </w:rPr>
        <w:t>示例城市建设控股有限公司文件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left"/>
            </w:pPr>
            <w:r/>
            <w:r>
              <w:rPr>
                <w:rFonts w:ascii="Times New Roman" w:hAnsi="Times New Roman" w:cs="Times New Roman" w:eastAsia="仿宋_GB2312"/>
                <w:b w:val="0"/>
                <w:sz w:val="32"/>
              </w:rPr>
              <w:t>示例控股字〔2026〕1号</w:t>
            </w:r>
          </w:p>
        </w:tc>
        <w:tc>
          <w:tcPr>
            <w:tcW w:w="2500" w:type="pct"/>
            <w:vAlign w:val="center"/>
            <w:tcBorders>
              <w:top w:val="nil"/>
              <w:left w:val="nil"/>
              <w:right w:val="nil"/>
              <w:insideH w:val="nil"/>
              <w:insideV w:val="nil"/>
              <w:bottom w:val="single" w:sz="18" w:space="0" w:color="FF0000"/>
            </w:tcBorders>
            <w:tcMar>
              <w:top w:w="0" w:type="dxa"/>
              <w:start w:w="70" w:type="dxa"/>
              <w:bottom w:w="90" w:type="dxa"/>
              <w:end w:w="7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Times New Roman" w:hAnsi="Times New Roman" w:cs="Times New Roman" w:eastAsia="楷体_GB2312"/>
                <w:b w:val="0"/>
                <w:sz w:val="32"/>
              </w:rPr>
              <w:t>签发人：〔示例〕</w:t>
            </w:r>
          </w:p>
        </w:tc>
      </w:tr>
    </w:tbl>
    <w:p>
      <w:pPr>
        <w:keepNext/>
        <w:widowControl/>
        <w:spacing w:lineRule="exact" w:line="600" w:before="480" w:after="48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示例城市建设控股有限公司</w:t>
        <w:br/>
      </w:r>
      <w:r>
        <w:rPr>
          <w:rFonts w:ascii="Times New Roman" w:hAnsi="Times New Roman" w:cs="Times New Roman" w:eastAsia="方正小标宋简体"/>
          <w:b w:val="0"/>
          <w:sz w:val="44"/>
        </w:rPr>
        <w:t>关于2025年度股权投资项目投后情况报告</w:t>
      </w:r>
    </w:p>
    <w:p>
      <w:pPr>
        <w:keepNext/>
        <w:widowControl/>
        <w:spacing w:lineRule="exact" w:line="560" w:before="0" w:after="0"/>
        <w:ind w:firstLine="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国资监管部门：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依据国有企业投资监督管理有关规定，现将公司2025年度股权投资项目投后管理情况报告如下：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一、年度股权投资完成总体情况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（一）存续基金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2025年12月31日，公司存续基金1支，为示例产业基金。公司认缴及实缴出资均为1000万元，持有10%的合伙份额。基金已完成对5个项目的投资，报告期内新增投资1个、退出项目1个，存续投资项目经营情况总体稳定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示例产业基金实缴规模为1亿元，投资成本合计8200万元，已回收本金及收益1460万元，期末基金净资产为1.08亿元。上述数据为本通用模板的合成示例，正式报告应以基金管理人出具的最新报告和经确认的财务数据为准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公司按季度跟踪基金投资进度、估值变化及退出安排，重点核查资金使用、重大事项决策和风险处置情况，并通过合伙人会议审议年度报告、估值和分配事项。基金详细情况见附件1。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（二）新设基金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报告期内，公司新设示例科创基金，认缴出资500万元，截至期末已实缴250万元。基金已完成工商设立、合伙协议签署及首期出资，投资期、管理费、决策机制和关联交易管理按协议执行。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科创基金重点关注先进制造、数字基础设施和绿色低碳领域，报告期内完成项目储备和初步论证，尚未开展对外投资。公司已要求管理人加强项目来源、投资节奏和资金使用计划管理，在提交投资决策前完整披露关联关系、估值依据和退出安排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（三）参股公司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1.示例科技有限公司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公司对示例科技有限公司投资800万元，持股8%。截至2025年12月31日，企业资产总额4200万元、净资产1850万元；2025年度实现营业收入2350万元、净利润135万元，营业收入和净利润分别较上年增长11.90%和12.50%。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围绕核心软件和设备产品持续拓展客户，报告期内新增合同金额980万元，研发投入占营业收入的9.20%。受部分客户结算周期延长影响，期末应收账款为920万元，较期初增加240万元，经营性现金流承压。公司已要求企业按客户、合同和账龄建立回款台账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报告期内，企业完成2次股东会和3次董事会审议事项，未发生影响公司股东权益的异常表决。公司持续跟踪预算执行、融资安排和投资协议约定事项，具体治理、经营、财务及风险情况见附件2。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2"/>
      </w:pPr>
      <w:r>
        <w:rPr>
          <w:rFonts w:ascii="Times New Roman" w:hAnsi="Times New Roman" w:cs="Times New Roman" w:eastAsia="仿宋_GB2312"/>
          <w:b/>
          <w:sz w:val="32"/>
        </w:rPr>
        <w:t>2.示例智能装备有限公司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公司对示例智能装备有限公司投资600万元，持股12%。截至报告期末，企业资产总额1680万元、净资产910万元；2025年度实现营业收入1280万元、净利润64万元，完成年度收入预算的91.43%。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企业报告期内共有9个在执行合同，合同总额1560万元，其中6个项目已完成交付或验收，3个项目处于安装调试阶段。受个别项目验收进度影响，部分收入未在报告期内确认。企业现有授权专利14项，报告期内新增3项，与主营产品相关的知识产权权属清晰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根据投资协议约定，企业下一年度需达到相应经营指标。公司已督促企业细化订单转化、项目验收和回款计划，并按月跟踪预算偏差及现金余额；如触及协议约定的保护性条款，将及时履行内部决策程序。具体情况见附件3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（四）SPV项目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示例协同发展合伙企业（有限合伙）处于存续期，公司实缴出资300万元，持有30%的合伙份额。报告期内未新增对外投资，合伙企业按约定开展存量资产管理、债权回收和收益分配准备工作。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合伙企业账面资产余额1120万元，报告期内累计回收款项180万元，尚未达到协议约定的分配条件。公司通过合伙人会议持续跟踪资产处置、诉讼执行和合作方履约情况，并要求执行事务合伙人按季度提供回收明细和费用清单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公司已对主要债权逐项建立投后台账，结合债务人偿付能力和司法进展更新预计回收时间，重点关注处置周期延长及回收金额不确定风险。SPV项目治理、资产及回收情况见附件4。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二、重大投资项目进展情况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（一）示例科技有限公司经营及回款情况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科技有限公司围绕核心产品持续拓展客户，营业收入保持增长。受部分客户结算周期延长影响，期末应收账款余额上升。其中，账龄一年以内应收账款占比为78%，前五名客户应收账款占比为62%，回款进度对企业现金流影响较大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督促企业压实回款责任，按客户形成台账并明确责任人和预计回款日期，将回款完成情况纳入月度投后跟踪。对逾期项目，企业正在通过对账确认、分期回收和合同约定措施推进处置；截至报告期末，未形成需要单项重大披露的坏账损失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截至报告期末，尚未发生触发投资协议约定回购条款的事项。公司将持续关注经营现金流、主要客户集中度、应收账款减值及融资安排，必要时依法依约采取股东权利保护措施。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（二）示例产业基金退出安排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示例产业基金已进入投后管理阶段，管理人正结合被投企业经营情况研究分阶段退出方案。报告期内完成1个项目退出，回收本金600万元、投资收益160万元；其余项目拟通过股权转让、并购整合或协议约定方式择机退出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公司已要求管理人逐项目明确估值依据、预计退出路径、时间安排和最低回收目标，对退出周期延长、估值下调及交易对手履约风险形成专项说明，并在合伙人会议上持续跟踪。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1"/>
      </w:pPr>
      <w:r>
        <w:rPr>
          <w:rFonts w:ascii="Times New Roman" w:hAnsi="Times New Roman" w:cs="Times New Roman" w:eastAsia="楷体_GB2312"/>
          <w:b/>
          <w:sz w:val="32"/>
        </w:rPr>
        <w:t>（三）SPV项目资产回收情况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报告期内，示例协同发展合伙企业围绕存量债权持续推进协商、诉讼和执行工作，累计回收180万元。部分债权受抵质押物处置程序和债务人偿付能力影响，实际回收时间仍存在不确定性。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下一步，公司将围绕投资协议约定和年度投后管理计划，持续做好项目分类管理、风险监测和退出推动工作，及时履行重大事项报告程序，切实维护国有出资权益。</w:t>
      </w:r>
    </w:p>
    <w:p>
      <w:pPr>
        <w:keepNext w:val="0"/>
        <w:widowControl/>
        <w:spacing w:lineRule="exact" w:line="560" w:before="0" w:after="0"/>
        <w:ind w:firstLine="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附件：1.股权投资基金投后管理报告</w:t>
      </w:r>
    </w:p>
    <w:p>
      <w:pPr>
        <w:keepNext w:val="0"/>
        <w:widowControl/>
        <w:spacing w:lineRule="exact" w:line="560" w:before="0" w:after="0"/>
        <w:ind w:firstLine="0"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2.示例科技有限公司投后管理报告</w:t>
      </w:r>
    </w:p>
    <w:p>
      <w:pPr>
        <w:keepNext w:val="0"/>
        <w:widowControl/>
        <w:spacing w:lineRule="exact" w:line="560" w:before="0" w:after="0"/>
        <w:ind w:firstLine="0"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3.示例智能装备有限公司投后管理报告</w:t>
      </w:r>
    </w:p>
    <w:p>
      <w:pPr>
        <w:keepNext w:val="0"/>
        <w:widowControl/>
        <w:spacing w:lineRule="exact" w:line="560" w:before="0" w:after="0"/>
        <w:ind w:firstLine="0" w:left="160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4.SPV项目投后管理报告</w:t>
      </w:r>
    </w:p>
    <w:p>
      <w:pPr>
        <w:keepNext w:val="0"/>
        <w:widowControl/>
        <w:spacing w:lineRule="exact" w:line="560" w:before="0" w:after="0"/>
        <w:ind w:firstLine="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firstLine="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</w:r>
    </w:p>
    <w:p>
      <w:pPr>
        <w:keepNext w:val="0"/>
        <w:widowControl/>
        <w:spacing w:lineRule="exact" w:line="560" w:before="0" w:after="0"/>
        <w:ind w:firstLine="640"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示例城市建设控股有限公司</w:t>
      </w:r>
    </w:p>
    <w:p>
      <w:pPr>
        <w:keepNext w:val="0"/>
        <w:widowControl/>
        <w:spacing w:lineRule="exact" w:line="560" w:before="0" w:after="0"/>
        <w:ind w:firstLine="640" w:left="0" w:right="1280"/>
        <w:jc w:val="right"/>
      </w:pPr>
      <w:r>
        <w:rPr>
          <w:rFonts w:ascii="Times New Roman" w:hAnsi="Times New Roman" w:cs="Times New Roman" w:eastAsia="仿宋_GB2312"/>
          <w:b w:val="0"/>
          <w:sz w:val="32"/>
        </w:rPr>
        <w:t>2026年3月31日</w:t>
      </w:r>
    </w:p>
    <w:p>
      <w:r>
        <w:br w:type="page"/>
      </w:r>
    </w:p>
    <w:p>
      <w:pPr>
        <w:keepNext/>
        <w:widowControl/>
        <w:spacing w:lineRule="exact" w:line="560" w:before="0" w:after="0"/>
        <w:ind w:firstLine="0"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附件1</w:t>
      </w:r>
    </w:p>
    <w:p>
      <w:pPr>
        <w:keepNext/>
        <w:widowControl/>
        <w:spacing w:lineRule="exact" w:line="600" w:before="0" w:after="32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股权投资基金投后管理报告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一、基金总体情况</w:t>
      </w:r>
    </w:p>
    <w:p>
      <w:pPr>
        <w:keepNext w:val="0"/>
        <w:widowControl/>
        <w:spacing w:lineRule="exact" w:line="360" w:before="0" w:after="0"/>
        <w:ind w:firstLine="0"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 w:val="true"/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基金名称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认缴出资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实缴出资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持有份额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示例产业基金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10%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存续</w:t>
            </w:r>
          </w:p>
        </w:tc>
      </w:tr>
      <w:tr>
        <w:trPr>
          <w:cantSplit/>
        </w:trPr>
        <w:tc>
          <w:tcPr>
            <w:tcW w:w="1667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示例科创基金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500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250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5%</w:t>
            </w:r>
          </w:p>
        </w:tc>
        <w:tc>
          <w:tcPr>
            <w:tcW w:w="833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已设立</w:t>
            </w:r>
          </w:p>
        </w:tc>
      </w:tr>
    </w:tbl>
    <w:p>
      <w:pPr>
        <w:keepNext w:val="0"/>
        <w:widowControl/>
        <w:spacing w:lineRule="exact" w:line="160" w:before="0" w:after="0"/>
        <w:ind w:firstLine="0" w:left="0" w:right="0"/>
        <w:jc w:val="both"/>
      </w:pP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公司按协议获取基金定期报告，跟踪投资、估值、退出和风险事项，并通过合伙人会议履行出资人职责。</w:t>
      </w:r>
    </w:p>
    <w:p>
      <w:r>
        <w:br w:type="page"/>
      </w:r>
    </w:p>
    <w:p>
      <w:pPr>
        <w:keepNext/>
        <w:widowControl/>
        <w:spacing w:lineRule="exact" w:line="560" w:before="0" w:after="0"/>
        <w:ind w:firstLine="0"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附件2</w:t>
      </w:r>
    </w:p>
    <w:p>
      <w:pPr>
        <w:keepNext/>
        <w:widowControl/>
        <w:spacing w:lineRule="exact" w:line="600" w:before="0" w:after="32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示例科技有限公司投后管理报告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一、公司治理情况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报告期内，公司依法参加2次股东会并跟踪3次董事会决议执行情况。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二、经营及财务情况</w:t>
      </w:r>
    </w:p>
    <w:p>
      <w:pPr>
        <w:keepNext w:val="0"/>
        <w:widowControl/>
        <w:spacing w:lineRule="exact" w:line="360" w:before="0" w:after="0"/>
        <w:ind w:firstLine="0" w:left="0" w:right="0"/>
        <w:jc w:val="right"/>
      </w:pPr>
      <w:r>
        <w:rPr>
          <w:rFonts w:ascii="Times New Roman" w:hAnsi="Times New Roman" w:cs="Times New Roman" w:eastAsia="仿宋_GB2312"/>
          <w:b w:val="0"/>
          <w:sz w:val="21"/>
        </w:rPr>
        <w:t>单位：万元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 w:val="true"/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指标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2024年度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2025年度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/>
                <w:sz w:val="21"/>
              </w:rPr>
              <w:t>变动说明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营业收入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2100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2350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核心客户订单增加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净利润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120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135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毛利改善</w:t>
            </w:r>
          </w:p>
        </w:tc>
      </w:tr>
      <w:tr>
        <w:trPr>
          <w:cantSplit/>
        </w:trPr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应收账款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680</w:t>
            </w:r>
          </w:p>
        </w:tc>
        <w:tc>
          <w:tcPr>
            <w:tcW w:w="1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920</w:t>
            </w:r>
          </w:p>
        </w:tc>
        <w:tc>
          <w:tcPr>
            <w:tcW w:w="2000" w:type="pct"/>
            <w:vAlign w:val="center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  <w:insideH w:val="single" w:sz="6" w:space="0" w:color="808080"/>
              <w:insideV w:val="single" w:sz="6" w:space="0" w:color="80808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Rule="exact" w:line="360"/>
              <w:jc w:val="center"/>
            </w:pPr>
            <w:r/>
            <w:r>
              <w:rPr>
                <w:rFonts w:ascii="Times New Roman" w:hAnsi="Times New Roman" w:cs="Times New Roman" w:eastAsia="仿宋_GB2312"/>
                <w:b w:val="0"/>
                <w:sz w:val="21"/>
              </w:rPr>
              <w:t>结算周期延长</w:t>
            </w:r>
          </w:p>
        </w:tc>
      </w:tr>
    </w:tbl>
    <w:p>
      <w:pPr>
        <w:keepNext w:val="0"/>
        <w:widowControl/>
        <w:spacing w:lineRule="exact" w:line="160" w:before="0" w:after="0"/>
        <w:ind w:firstLine="0" w:left="0" w:right="0"/>
        <w:jc w:val="both"/>
      </w:pP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三、主要风险及措施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主要风险为应收账款回收周期延长，期末应收账款为920万元。公司已推动企业建立客户回款台账并按月报告。</w:t>
      </w:r>
    </w:p>
    <w:p>
      <w:r>
        <w:br w:type="page"/>
      </w:r>
    </w:p>
    <w:p>
      <w:pPr>
        <w:keepNext/>
        <w:widowControl/>
        <w:spacing w:lineRule="exact" w:line="560" w:before="0" w:after="0"/>
        <w:ind w:firstLine="0"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附件3</w:t>
      </w:r>
    </w:p>
    <w:p>
      <w:pPr>
        <w:keepNext/>
        <w:widowControl/>
        <w:spacing w:lineRule="exact" w:line="600" w:before="0" w:after="32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示例智能装备有限公司投后管理报告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一、项目总体情况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公司对示例智能装备有限公司投资600万元，持股12%。本附件使用合成示例数据展示可复用结构，正式报告应依据项目资料替换。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二、投后管理结论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报告期内共有9个在执行合同，现有授权专利14项，未发现需要在主报告中单列披露的其他重大事项。</w:t>
      </w:r>
    </w:p>
    <w:p>
      <w:r>
        <w:br w:type="page"/>
      </w:r>
    </w:p>
    <w:p>
      <w:pPr>
        <w:keepNext/>
        <w:widowControl/>
        <w:spacing w:lineRule="exact" w:line="560" w:before="0" w:after="0"/>
        <w:ind w:firstLine="0" w:left="0" w:right="0"/>
        <w:jc w:val="left"/>
      </w:pPr>
      <w:r>
        <w:rPr>
          <w:rFonts w:ascii="Times New Roman" w:hAnsi="Times New Roman" w:cs="Times New Roman" w:eastAsia="仿宋_GB2312"/>
          <w:b w:val="0"/>
          <w:sz w:val="32"/>
        </w:rPr>
        <w:t>附件4</w:t>
      </w:r>
    </w:p>
    <w:p>
      <w:pPr>
        <w:keepNext/>
        <w:widowControl/>
        <w:spacing w:lineRule="exact" w:line="600" w:before="0" w:after="320"/>
        <w:ind w:firstLine="0" w:left="0" w:right="0"/>
        <w:jc w:val="center"/>
      </w:pPr>
      <w:r>
        <w:rPr>
          <w:rFonts w:ascii="Times New Roman" w:hAnsi="Times New Roman" w:cs="Times New Roman" w:eastAsia="方正小标宋简体"/>
          <w:b w:val="0"/>
          <w:sz w:val="44"/>
        </w:rPr>
        <w:t>SPV项目投后管理报告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一、合伙企业治理情况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公司实缴出资300万元、持有30%的合伙份额，合伙企业按合伙协议召开合伙人会议并报告存量资产管理事项。</w:t>
      </w:r>
    </w:p>
    <w:p>
      <w:pPr>
        <w:keepNext/>
        <w:widowControl/>
        <w:spacing w:lineRule="exact" w:line="560" w:before="0" w:after="0"/>
        <w:ind w:firstLine="640" w:left="0" w:right="0"/>
        <w:jc w:val="both"/>
        <w:outlineLvl w:val="0"/>
      </w:pPr>
      <w:r>
        <w:rPr>
          <w:rFonts w:ascii="Times New Roman" w:hAnsi="Times New Roman" w:cs="Times New Roman" w:eastAsia="黑体"/>
          <w:b w:val="0"/>
          <w:sz w:val="32"/>
        </w:rPr>
        <w:t>二、收益回收及风险情况</w:t>
      </w:r>
    </w:p>
    <w:p>
      <w:pPr>
        <w:keepNext w:val="0"/>
        <w:widowControl/>
        <w:spacing w:lineRule="exact" w:line="560" w:before="0" w:after="0"/>
        <w:ind w:firstLine="640" w:left="0" w:right="0"/>
        <w:jc w:val="both"/>
      </w:pPr>
      <w:r>
        <w:rPr>
          <w:rFonts w:ascii="Times New Roman" w:hAnsi="Times New Roman" w:cs="Times New Roman" w:eastAsia="仿宋_GB2312"/>
          <w:b w:val="0"/>
          <w:sz w:val="32"/>
        </w:rPr>
        <w:t>报告期内未新增投资；期末账面资产1120万元，累计回收180万元。公司持续跟踪资产处置、收益分配和合作方履约情况。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right"/>
    </w:pPr>
    <w:r>
      <w:rPr>
        <w:rFonts w:ascii="宋体" w:hAnsi="宋体" w:cs="宋体" w:eastAsia="宋体"/>
        <w:b w:val="0"/>
        <w:sz w:val="28"/>
      </w:rPr>
      <w:t>-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>-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left"/>
    </w:pPr>
    <w:r>
      <w:rPr>
        <w:rFonts w:ascii="宋体" w:hAnsi="宋体" w:cs="宋体" w:eastAsia="宋体"/>
        <w:b w:val="0"/>
        <w:sz w:val="28"/>
      </w:rPr>
      <w:t>-</w:t>
    </w:r>
    <w:r>
      <w:rPr>
        <w:rFonts w:ascii="宋体" w:hAnsi="宋体" w:cs="宋体" w:eastAsia="宋体"/>
        <w:b w:val="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cs="宋体" w:eastAsia="宋体"/>
        <w:b w:val="0"/>
        <w:sz w:val="28"/>
      </w:rPr>
      <w:t>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示例城市建设控股有限公司关于2025年度股权投资项目投后情况报告</dc:title>
  <dc:subject>年度股权投资项目投后情况报告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  <dc:identifier>soe-post-investment-report:sha256:84d095eda2c149cbed2ef976d1b9a3c79133886572bf208fde971b0a85471509</dc:identifier>
</cp:coreProperties>
</file>