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exact" w:line="960" w:before="1720" w:after="400"/>
        <w:ind w:left="0" w:right="0"/>
        <w:jc w:val="center"/>
      </w:pPr>
      <w:r>
        <w:rPr>
          <w:rFonts w:ascii="Times New Roman" w:hAnsi="Times New Roman" w:cs="Times New Roman" w:eastAsia="方正小标宋简体"/>
          <w:b/>
          <w:color w:val="FF0000"/>
          <w:sz w:val="136"/>
          <w:w w:val="37"/>
          <w:fitText w:val="8195" w:id="1"/>
        </w:rPr>
        <w:t>示例城市建设控股有限公司文件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w="2500" w:type="pct"/>
            <w:vAlign w:val="center"/>
            <w:tcBorders>
              <w:top w:val="nil"/>
              <w:left w:val="nil"/>
              <w:right w:val="nil"/>
              <w:insideH w:val="nil"/>
              <w:insideV w:val="nil"/>
              <w:bottom w:val="single" w:sz="18" w:space="0" w:color="FF0000"/>
            </w:tcBorders>
            <w:tcMar>
              <w:top w:w="0" w:type="dxa"/>
              <w:start w:w="70" w:type="dxa"/>
              <w:bottom w:w="90" w:type="dxa"/>
              <w:end w:w="70" w:type="dxa"/>
            </w:tcMar>
          </w:tcPr>
          <w:p>
            <w:pPr>
              <w:spacing w:line="560" w:lineRule="exact"/>
              <w:jc w:val="left"/>
            </w:pPr>
            <w:r/>
            <w:r>
              <w:rPr>
                <w:rFonts w:ascii="Times New Roman" w:hAnsi="Times New Roman" w:cs="Times New Roman" w:eastAsia="仿宋_GB2312"/>
                <w:b w:val="0"/>
                <w:sz w:val="32"/>
              </w:rPr>
              <w:t>示例控股字〔2026〕1号</w:t>
            </w:r>
          </w:p>
        </w:tc>
        <w:tc>
          <w:tcPr>
            <w:tcW w:w="2500" w:type="pct"/>
            <w:vAlign w:val="center"/>
            <w:tcBorders>
              <w:top w:val="nil"/>
              <w:left w:val="nil"/>
              <w:right w:val="nil"/>
              <w:insideH w:val="nil"/>
              <w:insideV w:val="nil"/>
              <w:bottom w:val="single" w:sz="18" w:space="0" w:color="FF0000"/>
            </w:tcBorders>
            <w:tcMar>
              <w:top w:w="0" w:type="dxa"/>
              <w:start w:w="70" w:type="dxa"/>
              <w:bottom w:w="90" w:type="dxa"/>
              <w:end w:w="70" w:type="dxa"/>
            </w:tcMar>
          </w:tcPr>
          <w:p>
            <w:pPr>
              <w:spacing w:line="560" w:lineRule="exact"/>
              <w:jc w:val="right"/>
            </w:pPr>
            <w:r/>
            <w:r>
              <w:rPr>
                <w:rFonts w:ascii="Times New Roman" w:hAnsi="Times New Roman" w:cs="Times New Roman" w:eastAsia="楷体_GB2312"/>
                <w:b w:val="0"/>
                <w:sz w:val="32"/>
              </w:rPr>
              <w:t>签发人：〔示例〕</w:t>
            </w:r>
          </w:p>
        </w:tc>
      </w:tr>
    </w:tbl>
    <w:p>
      <w:pPr>
        <w:keepNext/>
        <w:widowControl/>
        <w:spacing w:lineRule="exact" w:line="600" w:before="480" w:after="480"/>
        <w:ind w:left="0" w:right="0"/>
        <w:jc w:val="center"/>
      </w:pPr>
      <w:r>
        <w:rPr>
          <w:rFonts w:ascii="Times New Roman" w:hAnsi="Times New Roman" w:cs="Times New Roman" w:eastAsia="方正小标宋简体"/>
          <w:b w:val="0"/>
          <w:sz w:val="44"/>
        </w:rPr>
        <w:t>示例城市建设控股有限公司</w:t>
        <w:br/>
      </w:r>
      <w:r>
        <w:rPr>
          <w:rFonts w:ascii="Times New Roman" w:hAnsi="Times New Roman" w:cs="Times New Roman" w:eastAsia="方正小标宋简体"/>
          <w:b w:val="0"/>
          <w:sz w:val="44"/>
        </w:rPr>
        <w:t>关于2025年度股权投资项目投后情况报告</w:t>
      </w:r>
    </w:p>
    <w:p>
      <w:pPr>
        <w:keepNext/>
        <w:widowControl/>
        <w:spacing w:lineRule="exact" w:line="560" w:before="0" w:after="0"/>
        <w:ind w:left="0" w:right="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国资监管部门：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依据国有企业投资监督管理有关规定，现将公司2025年度股权投资项目投后管理情况报告如下：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0"/>
      </w:pPr>
      <w:r>
        <w:rPr>
          <w:rFonts w:ascii="Times New Roman" w:hAnsi="Times New Roman" w:cs="Times New Roman" w:eastAsia="黑体"/>
          <w:b w:val="0"/>
          <w:sz w:val="32"/>
        </w:rPr>
        <w:t>一、年度股权投资完成总体情况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1"/>
      </w:pPr>
      <w:r>
        <w:rPr>
          <w:rFonts w:ascii="Times New Roman" w:hAnsi="Times New Roman" w:cs="Times New Roman" w:eastAsia="楷体_GB2312"/>
          <w:b/>
          <w:sz w:val="32"/>
        </w:rPr>
        <w:t>（一）存续基金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截至2025年12月31日，公司存续基金1支，为示例产业基金。公司认缴及实缴出资均为1000万元，持有10%的合伙份额。基金已完成对5个项目的投资，报告期内新增投资1个、退出项目1个，存续投资项目经营情况总体稳定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截至报告期末，示例产业基金实缴规模为1亿元，投资成本合计8200万元，已回收本金及收益1460万元，期末基金净资产为1.08亿元。上述数据为本通用模板的合成示例，正式报告应以基金管理人出具的最新报告和经确认的财务数据为准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公司按季度跟踪基金投资进度、估值变化及退出安排，重点核查资金使用、重大事项决策和风险处置情况，并通过合伙人会议审议年度报告、估值和分配事项。基金详细情况见附件1。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1"/>
      </w:pPr>
      <w:r>
        <w:rPr>
          <w:rFonts w:ascii="Times New Roman" w:hAnsi="Times New Roman" w:cs="Times New Roman" w:eastAsia="楷体_GB2312"/>
          <w:b/>
          <w:sz w:val="32"/>
        </w:rPr>
        <w:t>（二）新设基金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报告期内，公司新设示例科创基金，认缴出资500万元，截至期末已实缴250万元。基金已完成工商设立、合伙协议签署及首期出资，投资期、管理费、决策机制和关联交易管理按协议执行。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示例科创基金重点关注先进制造、数字基础设施和绿色低碳领域，报告期内完成项目储备和初步论证，尚未开展对外投资。公司已要求管理人加强项目来源、投资节奏和资金使用计划管理，在提交投资决策前完整披露关联关系、估值依据和退出安排。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1"/>
      </w:pPr>
      <w:r>
        <w:rPr>
          <w:rFonts w:ascii="Times New Roman" w:hAnsi="Times New Roman" w:cs="Times New Roman" w:eastAsia="楷体_GB2312"/>
          <w:b/>
          <w:sz w:val="32"/>
        </w:rPr>
        <w:t>（三）参股公司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2"/>
      </w:pPr>
      <w:r>
        <w:rPr>
          <w:rFonts w:ascii="Times New Roman" w:hAnsi="Times New Roman" w:cs="Times New Roman" w:eastAsia="仿宋_GB2312"/>
          <w:b/>
          <w:sz w:val="32"/>
        </w:rPr>
        <w:t>1.示例科技有限公司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公司对示例科技有限公司投资800万元，持股8%。截至2025年12月31日，企业资产总额4200万元、净资产1850万元；2025年度实现营业收入2350万元、净利润135万元，营业收入和净利润分别较上年增长11.90%和12.50%。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企业围绕核心软件和设备产品持续拓展客户，报告期内新增合同金额980万元，研发投入占营业收入的9.20%。受部分客户结算周期延长影响，期末应收账款为920万元，较期初增加240万元，经营性现金流承压。公司已要求企业按客户、合同和账龄建立回款台账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报告期内，企业完成2次股东会和3次董事会审议事项，未发生影响公司股东权益的异常表决。公司持续跟踪预算执行、融资安排和投资协议约定事项，具体治理、经营、财务及风险情况见附件2。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2"/>
      </w:pPr>
      <w:r>
        <w:rPr>
          <w:rFonts w:ascii="Times New Roman" w:hAnsi="Times New Roman" w:cs="Times New Roman" w:eastAsia="仿宋_GB2312"/>
          <w:b/>
          <w:sz w:val="32"/>
        </w:rPr>
        <w:t>2.示例智能装备有限公司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公司对示例智能装备有限公司投资600万元，持股12%。截至报告期末，企业资产总额1680万元、净资产910万元；2025年度实现营业收入1280万元、净利润64万元，完成年度收入预算的91.43%。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企业报告期内共有9个在执行合同，合同总额1560万元，其中6个项目已完成交付或验收，3个项目处于安装调试阶段。受个别项目验收进度影响，部分收入未在报告期内确认。企业现有授权专利14项，报告期内新增3项，与主营产品相关的知识产权权属清晰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根据投资协议约定，企业下一年度需达到相应经营指标。公司已督促企业细化订单转化、项目验收和回款计划，并按月跟踪预算偏差及现金余额；如触及协议约定的保护性条款，将及时履行内部决策程序。具体情况见附件3。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1"/>
      </w:pPr>
      <w:r>
        <w:rPr>
          <w:rFonts w:ascii="Times New Roman" w:hAnsi="Times New Roman" w:cs="Times New Roman" w:eastAsia="楷体_GB2312"/>
          <w:b/>
          <w:sz w:val="32"/>
        </w:rPr>
        <w:t>（四）示例协同发展SPV项目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示例协同发展合伙企业（有限合伙）处于存续期，公司实缴出资300万元，持有30%的合伙份额。报告期内未新增对外投资，合伙企业按约定开展存量资产管理、债权回收和收益分配准备工作。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截至报告期末，合伙企业账面资产余额1120万元，报告期内累计回收款项180万元，尚未达到协议约定的分配条件。公司通过合伙人会议持续跟踪资产处置、诉讼执行和合作方履约情况，并要求执行事务合伙人按季度提供回收明细和费用清单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公司已对主要债权逐项建立投后台账，结合债务人偿付能力和司法进展更新预计回收时间，重点关注处置周期延长及回收金额不确定风险。SPV项目治理、资产及回收情况见附件4。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1"/>
      </w:pPr>
      <w:r>
        <w:rPr>
          <w:rFonts w:ascii="Times New Roman" w:hAnsi="Times New Roman" w:cs="Times New Roman" w:eastAsia="楷体_GB2312"/>
          <w:b/>
          <w:sz w:val="32"/>
        </w:rPr>
        <w:t>（五）示例专项债权SPV项目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示例专项债权合伙企业（有限合伙）处于存续期，公司实缴出资200万元，持有20%的合伙份额。报告期内未新增对外投资，合伙企业按约定开展债权确权、诉讼推进和资产处置准备工作。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截至报告期末，合伙企业账面资产余额860万元，报告期内累计回收款项120万元，尚未达到协议约定的分配条件。公司通过合伙人会议跟踪债权确权、诉讼执行和资产处置进展，重点关注处置周期延长及回收金额不确定风险。该SPV项目治理、资产及回收情况见附件4。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0"/>
      </w:pPr>
      <w:r>
        <w:rPr>
          <w:rFonts w:ascii="Times New Roman" w:hAnsi="Times New Roman" w:cs="Times New Roman" w:eastAsia="黑体"/>
          <w:b w:val="0"/>
          <w:sz w:val="32"/>
        </w:rPr>
        <w:t>二、重大投资项目进展情况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1"/>
      </w:pPr>
      <w:r>
        <w:rPr>
          <w:rFonts w:ascii="Times New Roman" w:hAnsi="Times New Roman" w:cs="Times New Roman" w:eastAsia="楷体_GB2312"/>
          <w:b/>
          <w:sz w:val="32"/>
        </w:rPr>
        <w:t>（一）示例科技有限公司经营及回款情况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报告期内，示例科技有限公司围绕核心产品持续拓展客户，营业收入保持增长。受部分客户结算周期延长影响，期末应收账款余额上升。其中，账龄一年以内应收账款占比为78%，前五名客户应收账款占比为62%，回款进度对企业现金流影响较大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公司已督促企业压实回款责任，按客户形成台账并明确责任人和预计回款日期，将回款完成情况纳入月度投后跟踪。对逾期项目，企业正在通过对账确认、分期回收和合同约定措施推进处置；截至报告期末，未形成需要单项重大披露的坏账损失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截至报告期末，尚未发生触发投资协议约定回购条款的事项。公司将持续关注经营现金流、主要客户集中度、应收账款减值及融资安排，必要时依法依约采取股东权利保护措施。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1"/>
      </w:pPr>
      <w:r>
        <w:rPr>
          <w:rFonts w:ascii="Times New Roman" w:hAnsi="Times New Roman" w:cs="Times New Roman" w:eastAsia="楷体_GB2312"/>
          <w:b/>
          <w:sz w:val="32"/>
        </w:rPr>
        <w:t>（二）示例产业基金退出安排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示例产业基金已进入投后管理阶段，管理人正结合被投企业经营情况研究分阶段退出方案。报告期内完成1个项目退出，回收本金600万元、投资收益160万元；其余项目拟通过股权转让、并购整合或协议约定方式择机退出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公司已要求管理人逐项目明确估值依据、预计退出路径、时间安排和最低回收目标，对退出周期延长、估值下调及交易对手履约风险形成专项说明，并在合伙人会议上持续跟踪。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1"/>
      </w:pPr>
      <w:r>
        <w:rPr>
          <w:rFonts w:ascii="Times New Roman" w:hAnsi="Times New Roman" w:cs="Times New Roman" w:eastAsia="楷体_GB2312"/>
          <w:b/>
          <w:sz w:val="32"/>
        </w:rPr>
        <w:t>（三）SPV项目资产回收情况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报告期内，示例协同发展合伙企业围绕存量债权持续推进协商、诉讼和执行工作，累计回收180万元。部分债权受抵质押物处置程序和债务人偿付能力影响，实际回收时间仍存在不确定性。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下一步，公司将围绕投资协议约定和年度投后管理计划，持续做好项目分类管理、风险监测和退出推动工作，及时履行重大事项报告程序，切实维护国有出资权益。</w:t>
      </w:r>
    </w:p>
    <w:p>
      <w:pPr>
        <w:keepNext w:val="0"/>
        <w:widowControl/>
        <w:spacing w:lineRule="exact" w:line="560" w:before="0" w:after="0"/>
        <w:ind w:left="0" w:right="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附件：1.股权投资基金投后管理报告</w:t>
      </w:r>
    </w:p>
    <w:p>
      <w:pPr>
        <w:keepNext w:val="0"/>
        <w:widowControl/>
        <w:spacing w:lineRule="exact" w:line="560" w:before="0" w:after="0"/>
        <w:ind w:left="1600" w:right="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2.示例科技有限公司投后管理报告</w:t>
      </w:r>
    </w:p>
    <w:p>
      <w:pPr>
        <w:keepNext w:val="0"/>
        <w:widowControl/>
        <w:spacing w:lineRule="exact" w:line="560" w:before="0" w:after="0"/>
        <w:ind w:left="1600" w:right="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3.示例智能装备有限公司投后管理报告</w:t>
      </w:r>
    </w:p>
    <w:p>
      <w:pPr>
        <w:keepNext w:val="0"/>
        <w:widowControl/>
        <w:spacing w:lineRule="exact" w:line="560" w:before="0" w:after="0"/>
        <w:ind w:left="1600" w:right="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4.SPV项目投后管理报告</w:t>
      </w:r>
    </w:p>
    <w:p>
      <w:pPr>
        <w:keepNext w:val="0"/>
        <w:widowControl/>
        <w:spacing w:lineRule="exact" w:line="560" w:before="0" w:after="0"/>
        <w:ind w:left="0" w:right="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</w:r>
    </w:p>
    <w:p>
      <w:pPr>
        <w:keepNext w:val="0"/>
        <w:widowControl/>
        <w:spacing w:lineRule="exact" w:line="560" w:before="0" w:after="0"/>
        <w:ind w:left="0" w:right="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</w:r>
    </w:p>
    <w:p>
      <w:pPr>
        <w:keepNext w:val="0"/>
        <w:widowControl/>
        <w:spacing w:lineRule="exact" w:line="560" w:before="0" w:after="0"/>
        <w:ind w:left="0" w:right="1280"/>
        <w:jc w:val="right"/>
      </w:pPr>
      <w:r>
        <w:rPr>
          <w:rFonts w:ascii="Times New Roman" w:hAnsi="Times New Roman" w:cs="Times New Roman" w:eastAsia="仿宋_GB2312"/>
          <w:b w:val="0"/>
          <w:sz w:val="32"/>
        </w:rPr>
        <w:t>示例城市建设控股有限公司</w:t>
      </w:r>
    </w:p>
    <w:p>
      <w:pPr>
        <w:keepNext w:val="0"/>
        <w:widowControl/>
        <w:spacing w:lineRule="exact" w:line="560" w:before="0" w:after="0"/>
        <w:ind w:left="0" w:right="1280"/>
        <w:jc w:val="right"/>
      </w:pPr>
      <w:r>
        <w:rPr>
          <w:rFonts w:ascii="Times New Roman" w:hAnsi="Times New Roman" w:cs="Times New Roman" w:eastAsia="仿宋_GB2312"/>
          <w:b w:val="0"/>
          <w:sz w:val="32"/>
        </w:rPr>
        <w:t>2026年3月31日</w:t>
      </w:r>
    </w:p>
    <w:p>
      <w:r>
        <w:br w:type="page"/>
      </w:r>
    </w:p>
    <w:p>
      <w:pPr>
        <w:keepNext/>
        <w:widowControl/>
        <w:spacing w:lineRule="exact" w:line="560" w:before="0" w:after="0"/>
        <w:ind w:left="0" w:right="0"/>
        <w:jc w:val="left"/>
      </w:pPr>
      <w:r>
        <w:rPr>
          <w:rFonts w:ascii="Times New Roman" w:hAnsi="Times New Roman" w:cs="Times New Roman" w:eastAsia="仿宋_GB2312"/>
          <w:b w:val="0"/>
          <w:sz w:val="32"/>
        </w:rPr>
        <w:t>附件1</w:t>
      </w:r>
    </w:p>
    <w:p>
      <w:pPr>
        <w:keepNext/>
        <w:widowControl/>
        <w:spacing w:lineRule="exact" w:line="600" w:before="0" w:after="320"/>
        <w:ind w:left="0" w:right="0"/>
        <w:jc w:val="center"/>
      </w:pPr>
      <w:r>
        <w:rPr>
          <w:rFonts w:ascii="Times New Roman" w:hAnsi="Times New Roman" w:cs="Times New Roman" w:eastAsia="方正小标宋简体"/>
          <w:b w:val="0"/>
          <w:sz w:val="44"/>
        </w:rPr>
        <w:t>股权投资基金投后管理报告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0"/>
      </w:pPr>
      <w:r>
        <w:rPr>
          <w:rFonts w:ascii="Times New Roman" w:hAnsi="Times New Roman" w:cs="Times New Roman" w:eastAsia="黑体"/>
          <w:b w:val="0"/>
          <w:sz w:val="32"/>
        </w:rPr>
        <w:t>一、基金总体情况</w:t>
      </w:r>
    </w:p>
    <w:p>
      <w:pPr>
        <w:keepNext w:val="0"/>
        <w:widowControl/>
        <w:spacing w:lineRule="exact" w:line="360" w:before="0" w:after="0"/>
        <w:ind w:left="0" w:right="0"/>
        <w:jc w:val="right"/>
      </w:pPr>
      <w:r>
        <w:rPr>
          <w:rFonts w:ascii="Times New Roman" w:hAnsi="Times New Roman" w:cs="Times New Roman" w:eastAsia="仿宋_GB2312"/>
          <w:b w:val="0"/>
          <w:sz w:val="21"/>
        </w:rPr>
        <w:t>单位：万元</w:t>
      </w:r>
    </w:p>
    <w:p>
      <w:pPr>
        <w:keepNext/>
        <w:widowControl/>
        <w:spacing w:lineRule="exact" w:line="560" w:before="0" w:after="0"/>
        <w:ind w:left="0" w:right="0"/>
        <w:jc w:val="center"/>
      </w:pPr>
      <w:r>
        <w:rPr>
          <w:rFonts w:ascii="Times New Roman" w:hAnsi="Times New Roman" w:cs="Times New Roman" w:eastAsia="黑体"/>
          <w:b w:val="0"/>
          <w:sz w:val="24"/>
        </w:rPr>
        <w:t>在管基金出资及份额情况表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  <w:cantSplit/>
        </w:trPr>
        <w:tc>
          <w:tcPr>
            <w:tcW w:w="1667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/>
                <w:sz w:val="21"/>
              </w:rPr>
              <w:t>基金名称</w:t>
            </w:r>
          </w:p>
        </w:tc>
        <w:tc>
          <w:tcPr>
            <w:tcW w:w="833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/>
                <w:sz w:val="21"/>
              </w:rPr>
              <w:t>认缴出资</w:t>
            </w:r>
          </w:p>
        </w:tc>
        <w:tc>
          <w:tcPr>
            <w:tcW w:w="833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/>
                <w:sz w:val="21"/>
              </w:rPr>
              <w:t>实缴出资</w:t>
            </w:r>
          </w:p>
        </w:tc>
        <w:tc>
          <w:tcPr>
            <w:tcW w:w="833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/>
                <w:sz w:val="21"/>
              </w:rPr>
              <w:t>持有份额</w:t>
            </w:r>
          </w:p>
        </w:tc>
        <w:tc>
          <w:tcPr>
            <w:tcW w:w="833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w="1667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示例产业基金</w:t>
            </w:r>
          </w:p>
        </w:tc>
        <w:tc>
          <w:tcPr>
            <w:tcW w:w="833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1000</w:t>
            </w:r>
          </w:p>
        </w:tc>
        <w:tc>
          <w:tcPr>
            <w:tcW w:w="833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1000</w:t>
            </w:r>
          </w:p>
        </w:tc>
        <w:tc>
          <w:tcPr>
            <w:tcW w:w="833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10%</w:t>
            </w:r>
          </w:p>
        </w:tc>
        <w:tc>
          <w:tcPr>
            <w:tcW w:w="833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存续</w:t>
            </w:r>
          </w:p>
        </w:tc>
      </w:tr>
      <w:tr>
        <w:trPr>
          <w:cantSplit/>
        </w:trPr>
        <w:tc>
          <w:tcPr>
            <w:tcW w:w="1667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示例科创基金</w:t>
            </w:r>
          </w:p>
        </w:tc>
        <w:tc>
          <w:tcPr>
            <w:tcW w:w="833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500</w:t>
            </w:r>
          </w:p>
        </w:tc>
        <w:tc>
          <w:tcPr>
            <w:tcW w:w="833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250</w:t>
            </w:r>
          </w:p>
        </w:tc>
        <w:tc>
          <w:tcPr>
            <w:tcW w:w="833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5%</w:t>
            </w:r>
          </w:p>
        </w:tc>
        <w:tc>
          <w:tcPr>
            <w:tcW w:w="833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已设立</w:t>
            </w:r>
          </w:p>
        </w:tc>
      </w:tr>
    </w:tbl>
    <w:p>
      <w:pPr>
        <w:keepNext w:val="0"/>
        <w:widowControl/>
        <w:spacing w:lineRule="exact" w:line="160" w:before="0" w:after="0"/>
        <w:ind w:left="0" w:right="0"/>
        <w:jc w:val="both"/>
      </w:pP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0"/>
      </w:pPr>
      <w:r>
        <w:rPr>
          <w:rFonts w:ascii="Times New Roman" w:hAnsi="Times New Roman" w:cs="Times New Roman" w:eastAsia="黑体"/>
          <w:b w:val="0"/>
          <w:sz w:val="32"/>
        </w:rPr>
        <w:t>二、投后管理情况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公司按协议获取基金定期报告，跟踪投资、估值、退出和风险事项，并通过合伙人会议履行出资人职责。</w:t>
      </w:r>
    </w:p>
    <w:p>
      <w:r>
        <w:br w:type="page"/>
      </w:r>
    </w:p>
    <w:p>
      <w:pPr>
        <w:keepNext/>
        <w:widowControl/>
        <w:spacing w:lineRule="exact" w:line="560" w:before="0" w:after="0"/>
        <w:ind w:left="0" w:right="0"/>
        <w:jc w:val="left"/>
      </w:pPr>
      <w:r>
        <w:rPr>
          <w:rFonts w:ascii="Times New Roman" w:hAnsi="Times New Roman" w:cs="Times New Roman" w:eastAsia="仿宋_GB2312"/>
          <w:b w:val="0"/>
          <w:sz w:val="32"/>
        </w:rPr>
        <w:t>附件2</w:t>
      </w:r>
    </w:p>
    <w:p>
      <w:pPr>
        <w:keepNext/>
        <w:widowControl/>
        <w:spacing w:lineRule="exact" w:line="600" w:before="0" w:after="320"/>
        <w:ind w:left="0" w:right="0"/>
        <w:jc w:val="center"/>
      </w:pPr>
      <w:r>
        <w:rPr>
          <w:rFonts w:ascii="Times New Roman" w:hAnsi="Times New Roman" w:cs="Times New Roman" w:eastAsia="方正小标宋简体"/>
          <w:b w:val="0"/>
          <w:sz w:val="44"/>
        </w:rPr>
        <w:t>示例科技有限公司投后管理报告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0"/>
      </w:pPr>
      <w:r>
        <w:rPr>
          <w:rFonts w:ascii="Times New Roman" w:hAnsi="Times New Roman" w:cs="Times New Roman" w:eastAsia="黑体"/>
          <w:b w:val="0"/>
          <w:sz w:val="32"/>
        </w:rPr>
        <w:t>一、公司治理情况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报告期内，公司依法参加2次股东会并跟踪3次董事会决议执行情况。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0"/>
      </w:pPr>
      <w:r>
        <w:rPr>
          <w:rFonts w:ascii="Times New Roman" w:hAnsi="Times New Roman" w:cs="Times New Roman" w:eastAsia="黑体"/>
          <w:b w:val="0"/>
          <w:sz w:val="32"/>
        </w:rPr>
        <w:t>二、经营及财务情况</w:t>
      </w:r>
    </w:p>
    <w:p>
      <w:pPr>
        <w:keepNext w:val="0"/>
        <w:widowControl/>
        <w:spacing w:lineRule="exact" w:line="360" w:before="0" w:after="0"/>
        <w:ind w:left="0" w:right="0"/>
        <w:jc w:val="right"/>
      </w:pPr>
      <w:r>
        <w:rPr>
          <w:rFonts w:ascii="Times New Roman" w:hAnsi="Times New Roman" w:cs="Times New Roman" w:eastAsia="仿宋_GB2312"/>
          <w:b w:val="0"/>
          <w:sz w:val="21"/>
        </w:rPr>
        <w:t>单位：万元</w:t>
      </w:r>
    </w:p>
    <w:p>
      <w:pPr>
        <w:keepNext/>
        <w:widowControl/>
        <w:spacing w:lineRule="exact" w:line="560" w:before="0" w:after="0"/>
        <w:ind w:left="0" w:right="0"/>
        <w:jc w:val="center"/>
      </w:pPr>
      <w:r>
        <w:rPr>
          <w:rFonts w:ascii="Times New Roman" w:hAnsi="Times New Roman" w:cs="Times New Roman" w:eastAsia="黑体"/>
          <w:b w:val="0"/>
          <w:sz w:val="24"/>
        </w:rPr>
        <w:t>示例科技有限公司主要财务指标表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w="1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/>
                <w:sz w:val="21"/>
              </w:rPr>
              <w:t>指标</w:t>
            </w:r>
          </w:p>
        </w:tc>
        <w:tc>
          <w:tcPr>
            <w:tcW w:w="1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/>
                <w:sz w:val="21"/>
              </w:rPr>
              <w:t>2024年度</w:t>
            </w:r>
          </w:p>
        </w:tc>
        <w:tc>
          <w:tcPr>
            <w:tcW w:w="1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/>
                <w:sz w:val="21"/>
              </w:rPr>
              <w:t>2025年度</w:t>
            </w:r>
          </w:p>
        </w:tc>
        <w:tc>
          <w:tcPr>
            <w:tcW w:w="2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/>
                <w:sz w:val="21"/>
              </w:rPr>
              <w:t>变动说明</w:t>
            </w:r>
          </w:p>
        </w:tc>
      </w:tr>
      <w:tr>
        <w:trPr>
          <w:cantSplit/>
        </w:trPr>
        <w:tc>
          <w:tcPr>
            <w:tcW w:w="1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营业收入</w:t>
            </w:r>
          </w:p>
        </w:tc>
        <w:tc>
          <w:tcPr>
            <w:tcW w:w="1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2100</w:t>
            </w:r>
          </w:p>
        </w:tc>
        <w:tc>
          <w:tcPr>
            <w:tcW w:w="1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2350</w:t>
            </w:r>
          </w:p>
        </w:tc>
        <w:tc>
          <w:tcPr>
            <w:tcW w:w="2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核心客户订单增加</w:t>
            </w:r>
          </w:p>
        </w:tc>
      </w:tr>
      <w:tr>
        <w:trPr>
          <w:cantSplit/>
        </w:trPr>
        <w:tc>
          <w:tcPr>
            <w:tcW w:w="1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净利润</w:t>
            </w:r>
          </w:p>
        </w:tc>
        <w:tc>
          <w:tcPr>
            <w:tcW w:w="1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120</w:t>
            </w:r>
          </w:p>
        </w:tc>
        <w:tc>
          <w:tcPr>
            <w:tcW w:w="1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135</w:t>
            </w:r>
          </w:p>
        </w:tc>
        <w:tc>
          <w:tcPr>
            <w:tcW w:w="2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毛利改善</w:t>
            </w:r>
          </w:p>
        </w:tc>
      </w:tr>
      <w:tr>
        <w:trPr>
          <w:cantSplit/>
        </w:trPr>
        <w:tc>
          <w:tcPr>
            <w:tcW w:w="1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应收账款</w:t>
            </w:r>
          </w:p>
        </w:tc>
        <w:tc>
          <w:tcPr>
            <w:tcW w:w="1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680</w:t>
            </w:r>
          </w:p>
        </w:tc>
        <w:tc>
          <w:tcPr>
            <w:tcW w:w="1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920</w:t>
            </w:r>
          </w:p>
        </w:tc>
        <w:tc>
          <w:tcPr>
            <w:tcW w:w="2000" w:type="pct"/>
            <w:vAlign w:val="cente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  <w:insideH w:val="single" w:sz="6" w:space="0" w:color="808080"/>
              <w:insideV w:val="single" w:sz="6" w:space="0" w:color="80808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Rule="exact" w:line="360"/>
              <w:jc w:val="center"/>
            </w:pPr>
            <w:r/>
            <w:r>
              <w:rPr>
                <w:rFonts w:ascii="Times New Roman" w:hAnsi="Times New Roman" w:cs="Times New Roman" w:eastAsia="仿宋_GB2312"/>
                <w:b w:val="0"/>
                <w:sz w:val="21"/>
              </w:rPr>
              <w:t>结算周期延长</w:t>
            </w:r>
          </w:p>
        </w:tc>
      </w:tr>
    </w:tbl>
    <w:p>
      <w:pPr>
        <w:keepNext w:val="0"/>
        <w:widowControl/>
        <w:spacing w:lineRule="exact" w:line="160" w:before="0" w:after="0"/>
        <w:ind w:left="0" w:right="0"/>
        <w:jc w:val="both"/>
      </w:pP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0"/>
      </w:pPr>
      <w:r>
        <w:rPr>
          <w:rFonts w:ascii="Times New Roman" w:hAnsi="Times New Roman" w:cs="Times New Roman" w:eastAsia="黑体"/>
          <w:b w:val="0"/>
          <w:sz w:val="32"/>
        </w:rPr>
        <w:t>三、主要风险及措施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主要风险为应收账款回收周期延长，期末应收账款为920万元。公司已推动企业建立客户回款台账并按月报告。</w:t>
      </w:r>
    </w:p>
    <w:p>
      <w:r>
        <w:br w:type="page"/>
      </w:r>
    </w:p>
    <w:p>
      <w:pPr>
        <w:keepNext/>
        <w:widowControl/>
        <w:spacing w:lineRule="exact" w:line="560" w:before="0" w:after="0"/>
        <w:ind w:left="0" w:right="0"/>
        <w:jc w:val="left"/>
      </w:pPr>
      <w:r>
        <w:rPr>
          <w:rFonts w:ascii="Times New Roman" w:hAnsi="Times New Roman" w:cs="Times New Roman" w:eastAsia="仿宋_GB2312"/>
          <w:b w:val="0"/>
          <w:sz w:val="32"/>
        </w:rPr>
        <w:t>附件3</w:t>
      </w:r>
    </w:p>
    <w:p>
      <w:pPr>
        <w:keepNext/>
        <w:widowControl/>
        <w:spacing w:lineRule="exact" w:line="600" w:before="0" w:after="320"/>
        <w:ind w:left="0" w:right="0"/>
        <w:jc w:val="center"/>
      </w:pPr>
      <w:r>
        <w:rPr>
          <w:rFonts w:ascii="Times New Roman" w:hAnsi="Times New Roman" w:cs="Times New Roman" w:eastAsia="方正小标宋简体"/>
          <w:b w:val="0"/>
          <w:sz w:val="44"/>
        </w:rPr>
        <w:t>示例智能装备有限公司投后管理报告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0"/>
      </w:pPr>
      <w:r>
        <w:rPr>
          <w:rFonts w:ascii="Times New Roman" w:hAnsi="Times New Roman" w:cs="Times New Roman" w:eastAsia="黑体"/>
          <w:b w:val="0"/>
          <w:sz w:val="32"/>
        </w:rPr>
        <w:t>一、项目总体情况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公司对示例智能装备有限公司投资600万元，持股12%。本附件使用合成示例数据展示可复用结构，正式报告应依据项目资料替换。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0"/>
      </w:pPr>
      <w:r>
        <w:rPr>
          <w:rFonts w:ascii="Times New Roman" w:hAnsi="Times New Roman" w:cs="Times New Roman" w:eastAsia="黑体"/>
          <w:b w:val="0"/>
          <w:sz w:val="32"/>
        </w:rPr>
        <w:t>二、投后管理结论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报告期内共有9个在执行合同，现有授权专利14项，未发现需要在主报告中单列披露的其他重大事项。</w:t>
      </w:r>
    </w:p>
    <w:p>
      <w:r>
        <w:br w:type="page"/>
      </w:r>
    </w:p>
    <w:p>
      <w:pPr>
        <w:keepNext/>
        <w:widowControl/>
        <w:spacing w:lineRule="exact" w:line="560" w:before="0" w:after="0"/>
        <w:ind w:left="0" w:right="0"/>
        <w:jc w:val="left"/>
      </w:pPr>
      <w:r>
        <w:rPr>
          <w:rFonts w:ascii="Times New Roman" w:hAnsi="Times New Roman" w:cs="Times New Roman" w:eastAsia="仿宋_GB2312"/>
          <w:b w:val="0"/>
          <w:sz w:val="32"/>
        </w:rPr>
        <w:t>附件4</w:t>
      </w:r>
    </w:p>
    <w:p>
      <w:pPr>
        <w:keepNext/>
        <w:widowControl/>
        <w:spacing w:lineRule="exact" w:line="600" w:before="0" w:after="320"/>
        <w:ind w:left="0" w:right="0"/>
        <w:jc w:val="center"/>
      </w:pPr>
      <w:r>
        <w:rPr>
          <w:rFonts w:ascii="Times New Roman" w:hAnsi="Times New Roman" w:cs="Times New Roman" w:eastAsia="方正小标宋简体"/>
          <w:b w:val="0"/>
          <w:sz w:val="44"/>
        </w:rPr>
        <w:t>SPV项目投后管理报告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0"/>
      </w:pPr>
      <w:r>
        <w:rPr>
          <w:rFonts w:ascii="Times New Roman" w:hAnsi="Times New Roman" w:cs="Times New Roman" w:eastAsia="黑体"/>
          <w:b w:val="0"/>
          <w:sz w:val="32"/>
        </w:rPr>
        <w:t>一、合伙企业治理情况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公司实缴出资300万元、持有30%的合伙份额，合伙企业按合伙协议召开合伙人会议并报告存量资产管理事项。</w:t>
      </w:r>
    </w:p>
    <w:p>
      <w:pPr>
        <w:keepNext/>
        <w:widowControl/>
        <w:spacing w:lineRule="exact" w:line="560" w:before="0" w:after="0"/>
        <w:ind w:left="0" w:right="0" w:firstLineChars="200"/>
        <w:jc w:val="both"/>
        <w:outlineLvl w:val="0"/>
      </w:pPr>
      <w:r>
        <w:rPr>
          <w:rFonts w:ascii="Times New Roman" w:hAnsi="Times New Roman" w:cs="Times New Roman" w:eastAsia="黑体"/>
          <w:b w:val="0"/>
          <w:sz w:val="32"/>
        </w:rPr>
        <w:t>二、收益回收及风险情况</w:t>
      </w:r>
    </w:p>
    <w:p>
      <w:pPr>
        <w:keepNext w:val="0"/>
        <w:widowControl/>
        <w:spacing w:lineRule="exact" w:line="560" w:before="0" w:after="0"/>
        <w:ind w:left="0" w:right="0" w:firstLineChars="20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  <w:t>报告期内未新增投资；期末账面资产1120万元，累计回收180万元。公司持续跟踪资产处置、收益分配和合作方履约情况。</w:t>
      </w:r>
    </w:p>
    <w:p>
      <w:pPr>
        <w:keepNext w:val="0"/>
        <w:widowControl/>
        <w:spacing w:lineRule="exact" w:line="560" w:before="0" w:after="0"/>
        <w:ind w:left="0" w:right="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</w:r>
    </w:p>
    <w:p>
      <w:pPr>
        <w:keepNext w:val="0"/>
        <w:widowControl/>
        <w:spacing w:lineRule="exact" w:line="560" w:before="0" w:after="0"/>
        <w:ind w:left="0" w:right="0"/>
        <w:jc w:val="both"/>
      </w:pPr>
      <w:r>
        <w:rPr>
          <w:rFonts w:ascii="Times New Roman" w:hAnsi="Times New Roman" w:cs="Times New Roman" w:eastAsia="仿宋_GB2312"/>
          <w:b w:val="0"/>
          <w:sz w:val="32"/>
        </w:rPr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w="3333" w:type="pct"/>
            <w:vAlign w:val="center"/>
            <w:tcBorders>
              <w:left w:val="nil"/>
              <w:right w:val="nil"/>
              <w:insideH w:val="nil"/>
              <w:insideV w:val="nil"/>
              <w:top w:val="single" w:sz="12" w:space="0" w:color="auto"/>
              <w:bottom w:val="single" w:sz="12" w:space="0" w:color="auto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line="560" w:lineRule="exact"/>
              <w:jc w:val="left"/>
            </w:pPr>
            <w:r/>
            <w:r>
              <w:rPr>
                <w:rFonts w:ascii="Times New Roman" w:hAnsi="Times New Roman" w:cs="Times New Roman" w:eastAsia="仿宋_GB2312"/>
                <w:b w:val="0"/>
                <w:sz w:val="28"/>
              </w:rPr>
              <w:t>示例城市建设控股有限公司综合办公室</w:t>
            </w:r>
          </w:p>
        </w:tc>
        <w:tc>
          <w:tcPr>
            <w:tcW w:w="1667" w:type="pct"/>
            <w:vAlign w:val="center"/>
            <w:tcBorders>
              <w:left w:val="nil"/>
              <w:right w:val="nil"/>
              <w:insideH w:val="nil"/>
              <w:insideV w:val="nil"/>
              <w:top w:val="single" w:sz="12" w:space="0" w:color="auto"/>
              <w:bottom w:val="single" w:sz="12" w:space="0" w:color="auto"/>
            </w:tcBorders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line="560" w:lineRule="exact"/>
              <w:jc w:val="right"/>
            </w:pPr>
            <w:r/>
            <w:r>
              <w:rPr>
                <w:rFonts w:ascii="Times New Roman" w:hAnsi="Times New Roman" w:cs="Times New Roman" w:eastAsia="仿宋_GB2312"/>
                <w:b w:val="0"/>
                <w:sz w:val="28"/>
              </w:rPr>
              <w:t>2026年3月31日印发</w:t>
            </w:r>
          </w:p>
        </w:tc>
      </w:tr>
    </w:tbl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0" w:lineRule="exact"/>
      <w:jc w:val="right"/>
    </w:pPr>
    <w:r>
      <w:rPr>
        <w:rFonts w:ascii="宋体" w:hAnsi="宋体" w:cs="宋体" w:eastAsia="宋体"/>
        <w:b w:val="0"/>
        <w:sz w:val="28"/>
      </w:rPr>
      <w:t xml:space="preserve">- </w:t>
    </w:r>
    <w:r>
      <w:rPr>
        <w:rFonts w:ascii="宋体" w:hAnsi="宋体" w:cs="宋体" w:eastAsia="宋体"/>
        <w:b w:val="0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cs="宋体" w:eastAsia="宋体"/>
        <w:b w:val="0"/>
        <w:sz w:val="28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0" w:lineRule="exact"/>
      <w:jc w:val="left"/>
    </w:pPr>
    <w:r>
      <w:rPr>
        <w:rFonts w:ascii="宋体" w:hAnsi="宋体" w:cs="宋体" w:eastAsia="宋体"/>
        <w:b w:val="0"/>
        <w:sz w:val="28"/>
      </w:rPr>
      <w:t xml:space="preserve">- </w:t>
    </w:r>
    <w:r>
      <w:rPr>
        <w:rFonts w:ascii="宋体" w:hAnsi="宋体" w:cs="宋体" w:eastAsia="宋体"/>
        <w:b w:val="0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cs="宋体" w:eastAsia="宋体"/>
        <w:b w:val="0"/>
        <w:sz w:val="2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示例城市建设控股有限公司关于2025年度股权投资项目投后情况报告</dc:title>
  <dc:subject>股权投资项目投后情况报告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  <dc:identifier>soe-post-investment-report:sha256:78b5a58cce6432a20bafde0dcb9cdb275248628cc0c54db0110d3c12cb6e86d9</dc:identifier>
</cp:coreProperties>
</file>