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4F32F8" w14:textId="77777777">
      <w:pPr>
        <w:jc w:val="both"/>
        <w:rPr>
          <w:rFonts w:ascii="Times New Roman" w:eastAsia="仿宋" w:hAnsi="Times New Roman" w:cs="Times New Roman"/>
        </w:rPr>
      </w:pPr>
    </w:p>
    <w:p w14:paraId="7363223E" w14:textId="30470D60">
      <w:pPr>
        <w:jc w:val="both"/>
        <w:rPr>
          <w:rFonts w:ascii="Times New Roman" w:eastAsia="仿宋" w:hAnsi="Times New Roman" w:cs="Times New Roman"/>
          <w:b/>
          <w:bCs/>
          <w:sz w:val="18"/>
          <w:szCs w:val="18"/>
        </w:rPr>
      </w:pPr>
      <w:r>
        <w:rPr>
          <w:rFonts w:ascii="Times New Roman" w:eastAsia="仿宋" w:hAnsi="Times New Roman" w:cs="Times New Roman"/>
          <w:b/>
          <w:bCs/>
          <w:sz w:val="18"/>
          <w:szCs w:val="18"/>
        </w:rPr>
        <w:t xml:space="preserve">Definitions of the real-work operational characteristics comprising </w:t>
      </w:r>
      <m:oMath>
        <m:r>
          <m:rPr>
            <m:lit/>
            <m:sty m:val="bi"/>
          </m:rPr>
          <w:rPr>
            <w:rFonts w:ascii="Cambria Math" w:eastAsia="仿宋" w:hAnsi="Cambria Math" w:cs="Times New Roman"/>
            <w:sz w:val="18"/>
            <w:szCs w:val="18"/>
          </w:rPr>
          <m:t>(</m:t>
        </m:r>
        <m:sSub>
          <m:sSubPr>
            <m:ctrlPr>
              <w:rPr>
                <w:rFonts w:ascii="Cambria Math" w:eastAsia="仿宋" w:hAnsi="Cambria Math" w:cs="Times New Roman"/>
                <w:i/>
                <w:sz w:val="18"/>
                <w:szCs w:val="18"/>
              </w:rPr>
            </m:ctrlPr>
          </m:sSubPr>
          <m:e>
            <m:r>
              <m:rPr>
                <m:sty m:val="p"/>
              </m:rPr>
              <w:rPr>
                <w:rFonts w:ascii="Cambria Math" w:eastAsia="仿宋" w:hAnsi="Cambria Math" w:cs="Times New Roman"/>
                <w:sz w:val="18"/>
                <w:szCs w:val="18"/>
              </w:rPr>
              <m:t>θ</m:t>
            </m:r>
            <m:ctrlPr>
              <w:rPr>
                <w:rFonts w:ascii="Cambria Math" w:eastAsia="仿宋" w:hAnsi="Cambria Math" w:cs="Times New Roman"/>
                <w:sz w:val="18"/>
                <w:szCs w:val="18"/>
              </w:rPr>
            </m:ctrlPr>
          </m:e>
          <m:sub>
            <m:r>
              <w:rPr>
                <w:rFonts w:ascii="Cambria Math" w:eastAsia="仿宋" w:hAnsi="Cambria Math" w:cs="Times New Roman"/>
                <w:sz w:val="18"/>
                <w:szCs w:val="18"/>
              </w:rPr>
              <m:t>R</m:t>
            </m:r>
          </m:sub>
        </m:sSub>
        <m:r>
          <m:rPr>
            <m:lit/>
            <m:sty m:val="bi"/>
          </m:rPr>
          <w:rPr>
            <w:rFonts w:ascii="Cambria Math" w:eastAsia="仿宋" w:hAnsi="Cambria Math" w:cs="Times New Roman"/>
            <w:sz w:val="18"/>
            <w:szCs w:val="18"/>
          </w:rPr>
          <m:t>)</m:t>
        </m:r>
      </m:oMath>
    </w:p>
    <w:tbl>
      <w:tblPr>
        <w:tblW w:w="8775" w:type="dxa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1298"/>
        <w:gridCol w:w="4394"/>
        <w:gridCol w:w="2254"/>
      </w:tblGrid>
      <w:tr w14:paraId="4F0A39DC" w14:textId="77777777">
        <w:trPr>
          <w:trHeight w:val="321"/>
          <w:tblHeader/>
          <w:tblCellSpacing w:w="15" w:type="dxa"/>
        </w:trPr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3D258FAC" w14:textId="77777777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  <w:t>Quantity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65058995" w14:textId="77777777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  <w:t>Analysis level</w:t>
            </w:r>
          </w:p>
        </w:tc>
        <w:tc>
          <w:tcPr>
            <w:tcW w:w="4364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207BF9A4" w14:textId="77777777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  <w:t>Operational definition</w:t>
            </w:r>
          </w:p>
        </w:tc>
        <w:tc>
          <w:tcPr>
            <w:tcW w:w="2209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F24BA41" w14:textId="77777777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b/>
                <w:bCs/>
                <w:sz w:val="18"/>
                <w:szCs w:val="18"/>
              </w:rPr>
              <w:t>Unit</w:t>
            </w:r>
          </w:p>
        </w:tc>
      </w:tr>
      <w:tr w14:paraId="108BA1C8" w14:textId="77777777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565A9C7D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D325301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Work cycle</w:t>
            </w:r>
          </w:p>
        </w:tc>
        <w:tc>
          <w:tcPr>
            <w:tcW w:w="4364" w:type="dxa"/>
            <w:vAlign w:val="center"/>
            <w:hideMark/>
          </w:tcPr>
          <w:p w14:paraId="3EA74746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Number of automatic bilateral-forward candidate events detected in cycle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i</m:t>
              </m:r>
            </m:oMath>
          </w:p>
        </w:tc>
        <w:tc>
          <w:tcPr>
            <w:tcW w:w="2209" w:type="dxa"/>
            <w:vAlign w:val="center"/>
            <w:hideMark/>
          </w:tcPr>
          <w:p w14:paraId="32661049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count per work cycle</w:t>
            </w:r>
          </w:p>
        </w:tc>
      </w:tr>
      <w:tr w14:paraId="7A095A4A" w14:textId="77777777">
        <w:trPr>
          <w:trHeight w:val="964"/>
          <w:tblCellSpacing w:w="15" w:type="dxa"/>
        </w:trPr>
        <w:tc>
          <w:tcPr>
            <w:tcW w:w="0" w:type="auto"/>
            <w:vAlign w:val="center"/>
            <w:hideMark/>
          </w:tcPr>
          <w:p w14:paraId="57CA204A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仿宋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="仿宋" w:hAnsi="Cambria Math" w:cs="Times New Roman"/>
                            <w:b/>
                            <w:bCs/>
                            <w:iCs/>
                            <w:sz w:val="18"/>
                            <w:szCs w:val="18"/>
                          </w:rPr>
                        </m:ctrlPr>
                      </m:acc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仿宋" w:hAnsi="Cambria Math" w:cs="Times New Roman" w:hint="eastAsia"/>
                            <w:sz w:val="18"/>
                            <w:szCs w:val="18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仿宋" w:hAnsi="Cambria Math" w:cs="Times New Roman"/>
                        <w:sz w:val="18"/>
                        <w:szCs w:val="1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0459E4A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Work cycle</w:t>
            </w:r>
          </w:p>
        </w:tc>
        <w:tc>
          <w:tcPr>
            <w:tcW w:w="4364" w:type="dxa"/>
            <w:vAlign w:val="center"/>
            <w:hideMark/>
          </w:tcPr>
          <w:p w14:paraId="09D62379" w14:textId="308912DC">
            <w:pPr>
              <w:jc w:val="center"/>
              <w:rPr>
                <w:rFonts w:ascii="Times New Roman" w:eastAsia="仿宋" w:hAnsi="Times New Roman" w:cs="Times New Roman" w:hint="eastAsia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Unit vector along the first PCA axis, oriented toward the task-outward reference</w:t>
            </w:r>
          </w:p>
        </w:tc>
        <w:tc>
          <w:tcPr>
            <w:tcW w:w="2209" w:type="dxa"/>
            <w:vAlign w:val="center"/>
            <w:hideMark/>
          </w:tcPr>
          <w:p w14:paraId="771BA156" w14:textId="66484463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Dimensionless; angular deviation reported in degrees</w:t>
            </w:r>
          </w:p>
        </w:tc>
      </w:tr>
      <w:tr w14:paraId="47FC96A9" w14:textId="77777777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53D9B5C1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21E841A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Event</w:t>
            </w:r>
          </w:p>
        </w:tc>
        <w:tc>
          <w:tcPr>
            <w:tcW w:w="4364" w:type="dxa"/>
            <w:vAlign w:val="center"/>
            <w:hideMark/>
          </w:tcPr>
          <w:p w14:paraId="47BED53A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Magnitude of the start-to-end bilateral wrist-midpoint movement projected onto 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18"/>
                      <w:szCs w:val="1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仿宋" w:hAnsi="Cambria Math" w:cs="Times New Roman"/>
                          <w:b/>
                          <w:bCs/>
                          <w:iCs/>
                          <w:sz w:val="18"/>
                          <w:szCs w:val="18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eastAsia="仿宋" w:hAnsi="Cambria Math" w:cs="Times New Roman" w:hint="eastAsia"/>
                          <w:sz w:val="18"/>
                          <w:szCs w:val="18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仿宋" w:hAnsi="Cambria Math" w:cs="Times New Roman"/>
                      <w:sz w:val="18"/>
                      <w:szCs w:val="18"/>
                    </w:rPr>
                    <m:t>i</m:t>
                  </m:r>
                </m:sub>
              </m:sSub>
            </m:oMath>
          </w:p>
        </w:tc>
        <w:tc>
          <w:tcPr>
            <w:tcW w:w="2209" w:type="dxa"/>
            <w:vAlign w:val="center"/>
            <w:hideMark/>
          </w:tcPr>
          <w:p w14:paraId="7F06EE9A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SW</w:t>
            </w:r>
          </w:p>
        </w:tc>
      </w:tr>
      <w:tr w14:paraId="3E25678F" w14:textId="77777777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402CAFE1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D642674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Event</w:t>
            </w:r>
          </w:p>
        </w:tc>
        <w:tc>
          <w:tcPr>
            <w:tcW w:w="4364" w:type="dxa"/>
            <w:vAlign w:val="center"/>
            <w:hideMark/>
          </w:tcPr>
          <w:p w14:paraId="5623F034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Range of wrist-midpoint positions along the axis orthogonal to 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18"/>
                      <w:szCs w:val="1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仿宋" w:hAnsi="Cambria Math" w:cs="Times New Roman"/>
                          <w:b/>
                          <w:bCs/>
                          <w:iCs/>
                          <w:sz w:val="18"/>
                          <w:szCs w:val="18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eastAsia="仿宋" w:hAnsi="Cambria Math" w:cs="Times New Roman" w:hint="eastAsia"/>
                          <w:sz w:val="18"/>
                          <w:szCs w:val="18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仿宋" w:hAnsi="Cambria Math" w:cs="Times New Roman"/>
                      <w:sz w:val="18"/>
                      <w:szCs w:val="18"/>
                    </w:rPr>
                    <m:t>i</m:t>
                  </m:r>
                </m:sub>
              </m:sSub>
            </m:oMath>
          </w:p>
        </w:tc>
        <w:tc>
          <w:tcPr>
            <w:tcW w:w="2209" w:type="dxa"/>
            <w:vAlign w:val="center"/>
            <w:hideMark/>
          </w:tcPr>
          <w:p w14:paraId="3BC2E058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SW</w:t>
            </w:r>
          </w:p>
        </w:tc>
      </w:tr>
      <w:tr w14:paraId="5D691672" w14:textId="77777777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3C02BFC0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0830AAE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Event</w:t>
            </w:r>
          </w:p>
        </w:tc>
        <w:tc>
          <w:tcPr>
            <w:tcW w:w="4364" w:type="dxa"/>
            <w:vAlign w:val="center"/>
            <w:hideMark/>
          </w:tcPr>
          <w:p w14:paraId="4E3D9E8F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Median transverse separation between synchronized left- and right-wrist positions</w:t>
            </w:r>
          </w:p>
        </w:tc>
        <w:tc>
          <w:tcPr>
            <w:tcW w:w="2209" w:type="dxa"/>
            <w:vAlign w:val="center"/>
            <w:hideMark/>
          </w:tcPr>
          <w:p w14:paraId="2CF8BCA0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SW</w:t>
            </w:r>
          </w:p>
        </w:tc>
      </w:tr>
      <w:tr w14:paraId="114EBF8F" w14:textId="77777777">
        <w:trPr>
          <w:trHeight w:val="321"/>
          <w:tblCellSpacing w:w="15" w:type="dxa"/>
        </w:trPr>
        <w:tc>
          <w:tcPr>
            <w:tcW w:w="0" w:type="auto"/>
            <w:vAlign w:val="center"/>
            <w:hideMark/>
          </w:tcPr>
          <w:p w14:paraId="238F08D4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415278B2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Event</w:t>
            </w:r>
          </w:p>
        </w:tc>
        <w:tc>
          <w:tcPr>
            <w:tcW w:w="4364" w:type="dxa"/>
            <w:vAlign w:val="center"/>
            <w:hideMark/>
          </w:tcPr>
          <w:p w14:paraId="13ED09AD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Time from the onset to the end of event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r</m:t>
              </m:r>
            </m:oMath>
          </w:p>
        </w:tc>
        <w:tc>
          <w:tcPr>
            <w:tcW w:w="2209" w:type="dxa"/>
            <w:vAlign w:val="center"/>
            <w:hideMark/>
          </w:tcPr>
          <w:p w14:paraId="0798F07E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bookmarkStart w:id="0" w:name="OLE_LINK50"/>
            <w:bookmarkStart w:id="1" w:name="OLE_LINK51"/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</w:t>
            </w:r>
            <w:bookmarkEnd w:id="0"/>
            <w:bookmarkEnd w:id="1"/>
          </w:p>
        </w:tc>
      </w:tr>
      <w:tr w14:paraId="0F47B45E" w14:textId="77777777">
        <w:trPr>
          <w:trHeight w:val="642"/>
          <w:tblCellSpacing w:w="15" w:type="dxa"/>
        </w:trPr>
        <w:tc>
          <w:tcPr>
            <w:tcW w:w="0" w:type="auto"/>
            <w:vAlign w:val="center"/>
          </w:tcPr>
          <w:p w14:paraId="151783C1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仿宋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仿宋" w:hAnsi="Cambria Math" w:cs="Times New Roman"/>
                        <w:sz w:val="18"/>
                        <w:szCs w:val="18"/>
                      </w:rPr>
                      <m:t>V</m:t>
                    </m:r>
                  </m:e>
                  <m:sub>
                    <m:r>
                      <w:rPr>
                        <w:rFonts w:ascii="Cambria Math" w:eastAsia="仿宋" w:hAnsi="Cambria Math" w:cs="Times New Roman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42263C6F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Event</w:t>
            </w:r>
          </w:p>
        </w:tc>
        <w:tc>
          <w:tcPr>
            <w:tcW w:w="4364" w:type="dxa"/>
            <w:vAlign w:val="center"/>
          </w:tcPr>
          <w:p w14:paraId="4FE94670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Bilateral wrist-midpoint path length divided by event duration and shoulder width</w:t>
            </w:r>
          </w:p>
        </w:tc>
        <w:tc>
          <w:tcPr>
            <w:tcW w:w="2209" w:type="dxa"/>
            <w:vAlign w:val="center"/>
          </w:tcPr>
          <w:p w14:paraId="434027E7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SW s</w:t>
            </w:r>
            <w:r>
              <w:rPr>
                <w:rFonts w:ascii="Times New Roman" w:eastAsia="仿宋" w:hAnsi="Times New Roman" w:cs="Times New Roman"/>
                <w:sz w:val="18"/>
                <w:szCs w:val="18"/>
                <w:vertAlign w:val="superscript"/>
              </w:rPr>
              <w:t>-1</w:t>
            </w:r>
          </w:p>
        </w:tc>
      </w:tr>
      <w:tr w14:paraId="75EF859E" w14:textId="77777777">
        <w:trPr>
          <w:trHeight w:val="311"/>
          <w:tblCellSpacing w:w="15" w:type="dxa"/>
        </w:trPr>
        <w:tc>
          <w:tcPr>
            <w:tcW w:w="0" w:type="auto"/>
            <w:vAlign w:val="center"/>
            <w:hideMark/>
          </w:tcPr>
          <w:p w14:paraId="4CDF3FC2" w14:textId="77777777">
            <w:pPr>
              <w:jc w:val="both"/>
              <w:rPr>
                <w:rFonts w:ascii="Times New Roman" w:eastAsia="仿宋" w:hAnsi="Times New Roman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ir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2B9DC580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Between events</w:t>
            </w:r>
          </w:p>
        </w:tc>
        <w:tc>
          <w:tcPr>
            <w:tcW w:w="4364" w:type="dxa"/>
            <w:vAlign w:val="center"/>
            <w:hideMark/>
          </w:tcPr>
          <w:p w14:paraId="5EAE990A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Time from the end of event </w:t>
            </w:r>
            <m:oMath>
              <m:r>
                <w:rPr>
                  <w:rFonts w:ascii="Cambria Math" w:hAnsi="Cambria Math"/>
                  <w:sz w:val="18"/>
                  <w:szCs w:val="18"/>
                </w:rPr>
                <m:t>r</m:t>
              </m:r>
            </m:oMath>
            <w:r>
              <w:rPr>
                <w:rFonts w:ascii="Times New Roman" w:eastAsia="仿宋" w:hAnsi="Times New Roman" w:cs="Times New Roman"/>
                <w:sz w:val="18"/>
                <w:szCs w:val="18"/>
              </w:rPr>
              <w:t xml:space="preserve"> to the onset of event </w:t>
            </w:r>
            <m:oMath>
              <m:r>
                <w:rPr>
                  <w:rFonts w:ascii="Cambria Math" w:eastAsia="仿宋" w:hAnsi="Cambria Math" w:cs="Times New Roman"/>
                  <w:sz w:val="18"/>
                  <w:szCs w:val="18"/>
                </w:rPr>
                <m:t>r+1</m:t>
              </m:r>
            </m:oMath>
          </w:p>
        </w:tc>
        <w:tc>
          <w:tcPr>
            <w:tcW w:w="2209" w:type="dxa"/>
            <w:vAlign w:val="center"/>
            <w:hideMark/>
          </w:tcPr>
          <w:p w14:paraId="6B31F0CB" w14:textId="77777777">
            <w:pPr>
              <w:jc w:val="center"/>
              <w:rPr>
                <w:rFonts w:ascii="Times New Roman" w:eastAsia="仿宋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eastAsia="仿宋" w:hAnsi="Times New Roman" w:cs="Times New Roman"/>
                <w:sz w:val="18"/>
                <w:szCs w:val="18"/>
              </w:rPr>
              <w:t>s</w:t>
            </w:r>
          </w:p>
        </w:tc>
      </w:tr>
    </w:tbl>
    <w:p w14:paraId="00E5F191" w14:textId="77777777">
      <w:pPr>
        <w:jc w:val="both"/>
        <w:rPr>
          <w:rFonts w:ascii="Times New Roman" w:eastAsia="仿宋" w:hAnsi="Times New Roman" w:cs="Times New Roman"/>
          <w:sz w:val="18"/>
          <w:szCs w:val="18"/>
        </w:rPr>
      </w:pPr>
      <w:r>
        <w:rPr>
          <w:rFonts w:ascii="Times New Roman" w:eastAsia="仿宋" w:hAnsi="Times New Roman" w:cs="Times New Roman"/>
          <w:b/>
          <w:bCs/>
          <w:sz w:val="18"/>
          <w:szCs w:val="18"/>
        </w:rPr>
        <w:t>Table note.</w:t>
      </w:r>
      <w:r>
        <w:rPr>
          <w:rFonts w:ascii="Times New Roman" w:eastAsia="仿宋" w:hAnsi="Times New Roman" w:cs="Times New Roman"/>
          <w:sz w:val="18"/>
          <w:szCs w:val="18"/>
        </w:rPr>
        <w:t xml:space="preserve"> </w:t>
      </w:r>
      <m:oMath>
        <m:r>
          <w:rPr>
            <w:rFonts w:ascii="Cambria Math" w:eastAsia="仿宋" w:hAnsi="Cambria Math" w:cs="Times New Roman"/>
            <w:sz w:val="18"/>
            <w:szCs w:val="18"/>
          </w:rPr>
          <m:t>i</m:t>
        </m:r>
      </m:oMath>
      <w:r>
        <w:rPr>
          <w:rFonts w:ascii="Times New Roman" w:eastAsia="仿宋" w:hAnsi="Times New Roman" w:cs="Times New Roman"/>
          <w:sz w:val="18"/>
          <w:szCs w:val="18"/>
        </w:rPr>
        <w:t xml:space="preserve"> indexes retained work cycles and </w:t>
      </w:r>
      <m:oMath>
        <m:r>
          <w:rPr>
            <w:rFonts w:ascii="Cambria Math" w:eastAsia="仿宋" w:hAnsi="Cambria Math" w:cs="Times New Roman"/>
            <w:sz w:val="18"/>
            <w:szCs w:val="18"/>
          </w:rPr>
          <m:t>r</m:t>
        </m:r>
      </m:oMath>
      <w:r>
        <w:rPr>
          <w:rFonts w:ascii="Times New Roman" w:eastAsia="仿宋" w:hAnsi="Times New Roman" w:cs="Times New Roman"/>
          <w:sz w:val="18"/>
          <w:szCs w:val="18"/>
        </w:rPr>
        <w:t xml:space="preserve"> indexes candidate propulsion eve</w:t>
      </w:r>
      <w:r>
        <w:rPr>
          <w:rFonts w:ascii="Times New Roman" w:eastAsia="仿宋" w:hAnsi="Times New Roman" w:cs="Times New Roman"/>
          <w:sz w:val="18"/>
          <w:szCs w:val="18"/>
        </w:rPr>
        <w:t xml:space="preserve">nts within a </w:t>
      </w:r>
      <w:r>
        <w:rPr>
          <w:rFonts w:ascii="Times New Roman" w:eastAsia="仿宋" w:hAnsi="Times New Roman" w:cs="Times New Roman" w:hint="eastAsia"/>
          <w:sz w:val="18"/>
          <w:szCs w:val="18"/>
        </w:rPr>
        <w:t xml:space="preserve">work </w:t>
      </w:r>
      <w:r>
        <w:rPr>
          <w:rFonts w:ascii="Times New Roman" w:eastAsia="仿宋" w:hAnsi="Times New Roman" w:cs="Times New Roman"/>
          <w:sz w:val="18"/>
          <w:szCs w:val="18"/>
        </w:rPr>
        <w:t xml:space="preserve">cycle. SW denotes the cycle-specific median image-based shoulder width, </w:t>
      </w:r>
      <m:oMath>
        <m:sSub>
          <m:sSubPr>
            <m:ctrlPr>
              <w:rPr>
                <w:rFonts w:ascii="Cambria Math" w:eastAsia="仿宋" w:hAnsi="Cambria Math" w:cs="Times New Roman"/>
                <w:i/>
                <w:sz w:val="18"/>
                <w:szCs w:val="18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="仿宋" w:hAnsi="Cambria Math" w:cs="Times New Roman"/>
                    <w:sz w:val="18"/>
                    <w:szCs w:val="18"/>
                  </w:rPr>
                </m:ctrlPr>
              </m:accPr>
              <m:e>
                <m:r>
                  <w:rPr>
                    <w:rFonts w:ascii="Cambria Math" w:eastAsia="仿宋" w:hAnsi="Cambria Math" w:cs="Times New Roman"/>
                    <w:sz w:val="18"/>
                    <w:szCs w:val="18"/>
                  </w:rPr>
                  <m:t>B</m:t>
                </m:r>
              </m:e>
            </m:acc>
            <m:ctrlPr>
              <w:rPr>
                <w:rFonts w:ascii="Cambria Math" w:eastAsia="仿宋" w:hAnsi="Cambria Math" w:cs="Times New Roman"/>
                <w:sz w:val="18"/>
                <w:szCs w:val="18"/>
              </w:rPr>
            </m:ctrlPr>
          </m:e>
          <m:sub>
            <m:r>
              <w:rPr>
                <w:rFonts w:ascii="Cambria Math" w:eastAsia="仿宋" w:hAnsi="Cambria Math" w:cs="Times New Roman"/>
                <w:sz w:val="18"/>
                <w:szCs w:val="18"/>
              </w:rPr>
              <m:t xml:space="preserve">i </m:t>
            </m:r>
          </m:sub>
        </m:sSub>
      </m:oMath>
      <w:r>
        <w:rPr>
          <w:rFonts w:ascii="Times New Roman" w:eastAsia="仿宋" w:hAnsi="Times New Roman" w:cs="Times New Roman"/>
          <w:sz w:val="18"/>
          <w:szCs w:val="18"/>
        </w:rPr>
        <w:t xml:space="preserve">. </w:t>
      </w:r>
    </w:p>
    <w:p w14:paraId="2D9BB5F0" w14:textId="77777777"/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ACA65B"/>
  <w15:chartTrackingRefBased/>
  <w15:docId w15:val="{F5A7258F-E5F0-A246-97C2-9A58C9FDC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08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Pages>1</Pages>
  <Words>150</Words>
  <Characters>998</Characters>
  <Application>Microsoft Office Word</Application>
  <DocSecurity>0</DocSecurity>
  <Lines>20</Lines>
  <Paragraphs>6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2026-08-26T17:15:00Z</dcterms:created>
  <dcterms:modified xsi:type="dcterms:W3CDTF">2026-08-27T10:35:00Z</dcterms:modified>
</cp:coreProperties>
</file>