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D6AB7">
      <w:pPr>
        <w:tabs>
          <w:tab w:val="left" w:pos="3982"/>
        </w:tabs>
      </w:pPr>
    </w:p>
    <w:p w14:paraId="00DC41B8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  <w:lang w:val="en-US" w:eastAsia="zh-CN"/>
        </w:rPr>
        <w:t>校内实习项目</w:t>
      </w:r>
      <w:r>
        <w:rPr>
          <w:b/>
          <w:sz w:val="48"/>
          <w:szCs w:val="48"/>
        </w:rPr>
        <w:t>成果报告</w:t>
      </w:r>
    </w:p>
    <w:p w14:paraId="58BF02F6">
      <w:pPr>
        <w:rPr>
          <w:b/>
          <w:sz w:val="48"/>
          <w:szCs w:val="48"/>
        </w:rPr>
      </w:pPr>
      <w:bookmarkStart w:id="0" w:name="_Hlk147915099"/>
      <w:bookmarkEnd w:id="0"/>
    </w:p>
    <w:p w14:paraId="31FCCC57"/>
    <w:p w14:paraId="23A4391C">
      <w:pPr>
        <w:jc w:val="center"/>
        <w:rPr>
          <w:rFonts w:ascii="华文细黑" w:hAnsi="华文细黑" w:eastAsia="华文细黑" w:cs="华文细黑"/>
          <w:b/>
          <w:sz w:val="44"/>
          <w:szCs w:val="44"/>
          <w:lang w:bidi="en-US"/>
        </w:rPr>
      </w:pPr>
      <w:r>
        <w:rPr>
          <w:rFonts w:ascii="华文细黑" w:hAnsi="华文细黑" w:eastAsia="华文细黑" w:cs="华文细黑"/>
          <w:b/>
          <w:sz w:val="44"/>
          <w:szCs w:val="44"/>
          <w:lang w:eastAsia="zh-CN" w:bidi="en-US"/>
        </w:rPr>
        <w:t>《数字人交互系统》技术调查报告</w:t>
      </w:r>
    </w:p>
    <w:p w14:paraId="5497F471">
      <w:pPr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Technical Investigation of </w:t>
      </w:r>
    </w:p>
    <w:p w14:paraId="0AC3C1AD">
      <w:pPr>
        <w:jc w:val="center"/>
      </w:pPr>
      <w:r>
        <w:rPr>
          <w:b/>
          <w:color w:val="000000"/>
          <w:sz w:val="32"/>
          <w:szCs w:val="32"/>
        </w:rPr>
        <w:t>the Digital Human</w:t>
      </w:r>
      <w:r>
        <w:rPr>
          <w:rFonts w:hint="eastAsia"/>
          <w:b/>
          <w:color w:val="000000"/>
          <w:sz w:val="32"/>
          <w:szCs w:val="32"/>
          <w:lang w:val="en-US" w:eastAsia="zh-CN"/>
        </w:rPr>
        <w:t xml:space="preserve"> </w:t>
      </w:r>
      <w:r>
        <w:rPr>
          <w:b/>
          <w:color w:val="000000"/>
          <w:sz w:val="32"/>
          <w:szCs w:val="32"/>
        </w:rPr>
        <w:t>Interaction System</w:t>
      </w:r>
    </w:p>
    <w:p w14:paraId="732F6630"/>
    <w:p w14:paraId="2FE4D99D"/>
    <w:p w14:paraId="4AC63CF2"/>
    <w:p w14:paraId="4491AA01"/>
    <w:p w14:paraId="003D38DA"/>
    <w:p w14:paraId="7A38010B"/>
    <w:p w14:paraId="56CAEA8A"/>
    <w:p w14:paraId="7DD873B5"/>
    <w:p w14:paraId="20BC692A">
      <w:pPr>
        <w:spacing w:line="360" w:lineRule="auto"/>
        <w:ind w:right="0"/>
        <w:jc w:val="both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sz w:val="30"/>
          <w:szCs w:val="30"/>
        </w:rPr>
        <w:t>学</w:t>
      </w:r>
      <w:r>
        <w:rPr>
          <w:rFonts w:eastAsia="Times New Roman"/>
          <w:sz w:val="30"/>
          <w:szCs w:val="30"/>
        </w:rPr>
        <w:t xml:space="preserve"> </w:t>
      </w:r>
      <w:r>
        <w:rPr>
          <w:sz w:val="30"/>
          <w:szCs w:val="30"/>
        </w:rPr>
        <w:t>院</w:t>
      </w:r>
      <w:r>
        <w:rPr>
          <w:rFonts w:hint="eastAsia"/>
          <w:sz w:val="30"/>
          <w:szCs w:val="30"/>
          <w:lang w:val="en-US" w:eastAsia="zh-CN"/>
        </w:rPr>
        <w:t xml:space="preserve"> </w:t>
      </w:r>
      <w:r>
        <w:rPr>
          <w:sz w:val="30"/>
          <w:szCs w:val="30"/>
        </w:rPr>
        <w:t>（系）：</w:t>
      </w:r>
      <w:r>
        <w:rPr>
          <w:rFonts w:eastAsia="Times New Roman"/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  <w:r>
        <w:rPr>
          <w:rFonts w:eastAsia="Times New Roman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         </w:t>
      </w:r>
      <w:r>
        <w:rPr>
          <w:rFonts w:eastAsia="Times New Roman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>软件学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院                      </w:t>
      </w:r>
    </w:p>
    <w:p w14:paraId="37818E57">
      <w:pPr>
        <w:spacing w:line="360" w:lineRule="auto"/>
        <w:ind w:right="0"/>
        <w:jc w:val="both"/>
        <w:rPr>
          <w:rFonts w:hint="default"/>
          <w:sz w:val="30"/>
          <w:szCs w:val="30"/>
          <w:u w:val="single"/>
          <w:lang w:val="en-US"/>
        </w:rPr>
      </w:pP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>组              号：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                       31                           </w:t>
      </w:r>
    </w:p>
    <w:p w14:paraId="0084D374">
      <w:pPr>
        <w:spacing w:line="360" w:lineRule="auto"/>
        <w:ind w:right="0"/>
        <w:jc w:val="both"/>
        <w:rPr>
          <w:rFonts w:hint="default"/>
          <w:sz w:val="30"/>
          <w:szCs w:val="30"/>
          <w:u w:val="single"/>
          <w:lang w:val="en-US"/>
        </w:rPr>
      </w:pP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 xml:space="preserve">组  员 </w:t>
      </w:r>
      <w:r>
        <w:rPr>
          <w:rFonts w:eastAsia="Times New Roman"/>
          <w:sz w:val="30"/>
          <w:szCs w:val="30"/>
        </w:rPr>
        <w:t xml:space="preserve"> </w:t>
      </w:r>
      <w:r>
        <w:rPr>
          <w:sz w:val="30"/>
          <w:szCs w:val="30"/>
        </w:rPr>
        <w:t>姓</w:t>
      </w:r>
      <w:r>
        <w:rPr>
          <w:rFonts w:eastAsia="Times New Roman"/>
          <w:sz w:val="30"/>
          <w:szCs w:val="30"/>
        </w:rPr>
        <w:t xml:space="preserve"> </w:t>
      </w:r>
      <w:r>
        <w:rPr>
          <w:rFonts w:hint="eastAsia"/>
          <w:sz w:val="30"/>
          <w:szCs w:val="30"/>
          <w:lang w:val="en-US" w:eastAsia="zh-CN"/>
        </w:rPr>
        <w:t xml:space="preserve"> </w:t>
      </w:r>
      <w:r>
        <w:rPr>
          <w:sz w:val="30"/>
          <w:szCs w:val="30"/>
        </w:rPr>
        <w:t>名：</w:t>
      </w:r>
      <w:r>
        <w:rPr>
          <w:rFonts w:eastAsia="Times New Roman"/>
          <w:sz w:val="30"/>
          <w:szCs w:val="30"/>
          <w:u w:val="single"/>
        </w:rPr>
        <w:t xml:space="preserve">  </w:t>
      </w:r>
      <w:r>
        <w:rPr>
          <w:sz w:val="30"/>
          <w:szCs w:val="30"/>
          <w:u w:val="single"/>
          <w:lang w:val="en-US" w:eastAsia="zh-CN"/>
        </w:rPr>
        <w:t>安家谊</w:t>
      </w:r>
      <w:r>
        <w:rPr>
          <w:rFonts w:hint="eastAsia"/>
          <w:sz w:val="30"/>
          <w:szCs w:val="30"/>
          <w:u w:val="single"/>
          <w:lang w:val="en-US" w:eastAsia="zh-CN"/>
        </w:rPr>
        <w:t>、赵燕凯、魏鑫鸿、路昆</w:t>
      </w:r>
    </w:p>
    <w:p w14:paraId="56BB85F1">
      <w:pPr>
        <w:spacing w:line="360" w:lineRule="auto"/>
        <w:ind w:right="0"/>
        <w:jc w:val="both"/>
        <w:rPr>
          <w:rFonts w:hint="default"/>
          <w:sz w:val="30"/>
          <w:szCs w:val="30"/>
          <w:u w:val="single"/>
          <w:lang w:val="en-US"/>
        </w:rPr>
      </w:pP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sz w:val="30"/>
          <w:szCs w:val="30"/>
        </w:rPr>
        <w:t>完</w:t>
      </w:r>
      <w:r>
        <w:rPr>
          <w:rFonts w:eastAsia="Times New Roman"/>
          <w:sz w:val="30"/>
          <w:szCs w:val="30"/>
        </w:rPr>
        <w:t xml:space="preserve"> </w:t>
      </w:r>
      <w:r>
        <w:rPr>
          <w:rFonts w:hint="eastAsia"/>
          <w:sz w:val="30"/>
          <w:szCs w:val="30"/>
          <w:lang w:val="en-US" w:eastAsia="zh-CN"/>
        </w:rPr>
        <w:t xml:space="preserve"> </w:t>
      </w:r>
      <w:r>
        <w:rPr>
          <w:sz w:val="30"/>
          <w:szCs w:val="30"/>
        </w:rPr>
        <w:t>成</w:t>
      </w:r>
      <w:r>
        <w:rPr>
          <w:rFonts w:eastAsia="Times New Roman"/>
          <w:sz w:val="30"/>
          <w:szCs w:val="30"/>
        </w:rPr>
        <w:t xml:space="preserve"> </w:t>
      </w:r>
      <w:r>
        <w:rPr>
          <w:rFonts w:hint="eastAsia"/>
          <w:sz w:val="30"/>
          <w:szCs w:val="30"/>
          <w:lang w:val="en-US" w:eastAsia="zh-CN"/>
        </w:rPr>
        <w:t xml:space="preserve"> </w:t>
      </w:r>
      <w:r>
        <w:rPr>
          <w:sz w:val="30"/>
          <w:szCs w:val="30"/>
        </w:rPr>
        <w:t>日</w:t>
      </w:r>
      <w:r>
        <w:rPr>
          <w:rFonts w:eastAsia="Times New Roman"/>
          <w:sz w:val="30"/>
          <w:szCs w:val="30"/>
        </w:rPr>
        <w:t xml:space="preserve"> </w:t>
      </w:r>
      <w:r>
        <w:rPr>
          <w:rFonts w:hint="eastAsia"/>
          <w:sz w:val="30"/>
          <w:szCs w:val="30"/>
          <w:lang w:val="en-US" w:eastAsia="zh-CN"/>
        </w:rPr>
        <w:t xml:space="preserve"> </w:t>
      </w:r>
      <w:r>
        <w:rPr>
          <w:sz w:val="30"/>
          <w:szCs w:val="30"/>
        </w:rPr>
        <w:t>期：</w:t>
      </w:r>
      <w:r>
        <w:rPr>
          <w:rFonts w:eastAsia="Times New Roman"/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          </w:t>
      </w:r>
      <w:r>
        <w:rPr>
          <w:rFonts w:eastAsia="Times New Roman"/>
          <w:sz w:val="30"/>
          <w:szCs w:val="30"/>
          <w:u w:val="single"/>
        </w:rPr>
        <w:t xml:space="preserve">  </w:t>
      </w:r>
      <w:r>
        <w:rPr>
          <w:sz w:val="30"/>
          <w:szCs w:val="30"/>
          <w:u w:val="single"/>
          <w:lang w:val="en-US" w:eastAsia="zh-CN"/>
        </w:rPr>
        <w:t>2026.10.</w:t>
      </w:r>
      <w:r>
        <w:rPr>
          <w:rFonts w:hint="eastAsia"/>
          <w:sz w:val="30"/>
          <w:szCs w:val="30"/>
          <w:u w:val="single"/>
          <w:lang w:val="en-US" w:eastAsia="zh-CN"/>
        </w:rPr>
        <w:t>17</w:t>
      </w:r>
      <w:bookmarkStart w:id="34" w:name="_GoBack"/>
      <w:bookmarkEnd w:id="34"/>
      <w:r>
        <w:rPr>
          <w:rFonts w:hint="eastAsia"/>
          <w:sz w:val="30"/>
          <w:szCs w:val="30"/>
          <w:u w:val="single"/>
          <w:lang w:val="en-US" w:eastAsia="zh-CN"/>
        </w:rPr>
        <w:t xml:space="preserve">                     </w:t>
      </w:r>
    </w:p>
    <w:p w14:paraId="33796BA3">
      <w:pPr>
        <w:ind w:right="0" w:firstLine="3240"/>
        <w:rPr>
          <w:rFonts w:ascii="华文行楷" w:hAnsi="华文行楷" w:eastAsia="华文行楷"/>
          <w:sz w:val="36"/>
          <w:szCs w:val="36"/>
          <w:u w:val="single"/>
        </w:rPr>
      </w:pPr>
    </w:p>
    <w:p w14:paraId="0774775F">
      <w:pPr>
        <w:ind w:right="0" w:firstLine="3240"/>
        <w:rPr>
          <w:rFonts w:ascii="华文行楷" w:hAnsi="华文行楷" w:eastAsia="华文行楷"/>
          <w:sz w:val="36"/>
          <w:szCs w:val="36"/>
        </w:rPr>
      </w:pPr>
    </w:p>
    <w:p w14:paraId="1FDE9B2F">
      <w:pPr>
        <w:ind w:right="0"/>
        <w:rPr>
          <w:rFonts w:ascii="华文行楷" w:hAnsi="华文行楷" w:eastAsia="华文行楷"/>
          <w:sz w:val="36"/>
          <w:szCs w:val="36"/>
        </w:rPr>
      </w:pPr>
    </w:p>
    <w:p w14:paraId="2FE3D1AA">
      <w:pPr>
        <w:ind w:right="0"/>
        <w:rPr>
          <w:rFonts w:ascii="华文行楷" w:hAnsi="华文行楷" w:eastAsia="华文行楷"/>
          <w:sz w:val="36"/>
          <w:szCs w:val="36"/>
        </w:rPr>
      </w:pPr>
    </w:p>
    <w:p w14:paraId="7F663415">
      <w:pPr>
        <w:ind w:right="0" w:firstLine="3240"/>
        <w:rPr>
          <w:rFonts w:ascii="华文行楷" w:hAnsi="华文行楷" w:eastAsia="华文行楷"/>
          <w:sz w:val="36"/>
          <w:szCs w:val="36"/>
        </w:rPr>
      </w:pPr>
    </w:p>
    <w:p w14:paraId="165C8D1F">
      <w:pPr>
        <w:ind w:right="0" w:firstLine="3240"/>
        <w:rPr>
          <w:rFonts w:ascii="华文行楷" w:hAnsi="华文行楷" w:eastAsia="华文行楷"/>
          <w:sz w:val="36"/>
          <w:szCs w:val="36"/>
        </w:rPr>
      </w:pPr>
      <w:r>
        <w:rPr>
          <w:rFonts w:ascii="华文行楷" w:hAnsi="华文行楷" w:eastAsia="华文行楷"/>
          <w:sz w:val="36"/>
          <w:szCs w:val="36"/>
        </w:rPr>
        <w:t>大连理工大学</w:t>
      </w:r>
    </w:p>
    <w:p w14:paraId="0065FBA4">
      <w:pPr>
        <w:spacing w:line="360" w:lineRule="auto"/>
        <w:ind w:right="0" w:firstLine="2760"/>
        <w:sectPr>
          <w:headerReference r:id="rId5" w:type="default"/>
          <w:pgSz w:w="11906" w:h="16838"/>
          <w:pgMar w:top="1985" w:right="1418" w:bottom="1418" w:left="1418" w:header="1418" w:footer="0" w:gutter="0"/>
          <w:pgNumType w:fmt="decimal"/>
          <w:cols w:space="720" w:num="1"/>
          <w:formProt w:val="0"/>
          <w:docGrid w:linePitch="326" w:charSpace="-2049"/>
        </w:sectPr>
      </w:pPr>
      <w:r>
        <w:t>Dalian University of Technology</w:t>
      </w:r>
    </w:p>
    <w:p w14:paraId="01255F75">
      <w:pPr>
        <w:pStyle w:val="2"/>
        <w:ind w:left="0" w:firstLine="0"/>
        <w:jc w:val="center"/>
      </w:pPr>
      <w:bookmarkStart w:id="1" w:name="_DHHeading_5000"/>
      <w:r>
        <w:t>摘    要</w:t>
      </w:r>
      <w:bookmarkEnd w:id="1"/>
    </w:p>
    <w:p w14:paraId="02D13A1B">
      <w:pPr>
        <w:ind w:right="0" w:firstLine="480"/>
      </w:pPr>
      <w:r>
        <w:t>本报告以 DigitalHelper（安心健康助手）为调查对象，围绕 Web 数字人能否在可维护的工程条件下完成健康服务演示，梳理技术路线、关键实现、工程问题、阶段验证与后续研究方向。</w:t>
      </w:r>
    </w:p>
    <w:p w14:paraId="671C2B24">
      <w:pPr>
        <w:ind w:right="0" w:firstLine="480"/>
      </w:pPr>
      <w:r>
        <w:t>项目当前采用浏览器端 Three.js</w:t>
      </w:r>
      <w:r>
        <w:rPr>
          <w:rFonts w:hint="eastAsia"/>
          <w:lang w:val="en-US" w:eastAsia="zh-CN"/>
        </w:rPr>
        <w:t>/</w:t>
      </w:r>
      <w:r>
        <w:t>three-vrm 渲染与 FastAPI 服务端协作的方式，将文字、语音、三维形象、动作与本地模拟业务连接起来。健康查询、预警确认和分步预约由本地规则及可选数据库处理；普通聊天可接入外部模型。系统不连接真实医院或消息服务，也不是经过临床验证的医疗系统。</w:t>
      </w:r>
    </w:p>
    <w:p w14:paraId="6D275AC2">
      <w:pPr>
        <w:ind w:right="0" w:firstLine="48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得到的结论如下：</w:t>
      </w:r>
    </w:p>
    <w:p w14:paraId="35303166">
      <w:pPr>
        <w:ind w:right="0" w:firstLine="480"/>
      </w:pPr>
      <w:r>
        <w:t>第一，现阶段最有价值的成果是可解释的系统集成方法，而非自研大模型。 展示、语音和业务被分离，三维资源或在线语音失败时，文字与规则流程仍有备用路径。这为后续对照实验提供了可拆分的研究原型。</w:t>
      </w:r>
    </w:p>
    <w:p w14:paraId="40C3BFE3">
      <w:pPr>
        <w:ind w:right="0" w:firstLine="480"/>
      </w:pPr>
      <w:r>
        <w:t>第二，数字人的难点在多条时间线和姿态控制的协调。 已有修复从“收到回复就做动作”转向按真实播报开始与累计播报时间驱动；站姿修复则从源动作调整进一步发展为按目标骨架比例适配。</w:t>
      </w:r>
    </w:p>
    <w:p w14:paraId="163FBF9D">
      <w:pPr>
        <w:ind w:right="0" w:firstLine="480"/>
      </w:pPr>
      <w:r>
        <w:t>第三，外部依赖可用不等于完整链路可用。 Edge TTS 403、PyAV 缺项、模型与动作适配差异均说明：页面能打开、接口返回200、嘴巴会动，只能证明局部现象，不能证明上游服务、音频解码与口型分析全部正常。</w:t>
      </w:r>
    </w:p>
    <w:p w14:paraId="08174FEE">
      <w:pPr>
        <w:ind w:right="0" w:firstLine="480"/>
      </w:pPr>
      <w:r>
        <w:t>第四，已有验证有价值，但边界必须保留。 仓库包含阶段性测试记录、四模型骨架回归及合成音频浏览器检查；这些不等于全部模型、真实麦克风、实时在线服务、低端设备与实际老年用户均已验证。</w:t>
      </w:r>
    </w:p>
    <w:p w14:paraId="52B58288">
      <w:pPr>
        <w:ind w:right="0" w:firstLine="480"/>
      </w:pPr>
      <w:r>
        <w:t>第五，下一阶段应优先补足研究证据，而不是继续堆叠展示功能。 建议围绕响应延迟、口型质量、跨模型适配、故障降级、数据库一致性和适老化任务完成效果设计可复现的对照实验。</w:t>
      </w:r>
    </w:p>
    <w:p w14:paraId="507BD476">
      <w:pPr>
        <w:ind w:right="0" w:firstLine="480"/>
      </w:pPr>
    </w:p>
    <w:p w14:paraId="34EF13C5">
      <w:pPr>
        <w:ind w:right="0" w:firstLine="480"/>
      </w:pPr>
    </w:p>
    <w:p w14:paraId="5C4D5D2E">
      <w:pPr>
        <w:sectPr>
          <w:headerReference r:id="rId7" w:type="first"/>
          <w:headerReference r:id="rId6" w:type="default"/>
          <w:footerReference r:id="rId8" w:type="default"/>
          <w:pgSz w:w="11906" w:h="16838"/>
          <w:pgMar w:top="1985" w:right="1418" w:bottom="1418" w:left="1418" w:header="1418" w:footer="1134" w:gutter="0"/>
          <w:pgNumType w:fmt="upperRoman" w:start="1"/>
          <w:cols w:space="720" w:num="1"/>
          <w:formProt w:val="0"/>
          <w:docGrid w:linePitch="326" w:charSpace="-2049"/>
        </w:sectPr>
      </w:pPr>
      <w:r>
        <w:rPr>
          <w:rStyle w:val="28"/>
          <w:rFonts w:ascii="黑体" w:hAnsi="黑体" w:eastAsia="黑体" w:cs="Times New Roman"/>
          <w:b/>
        </w:rPr>
        <w:t>关键词：Web数字人；VRM</w:t>
      </w:r>
      <w:r>
        <w:rPr>
          <w:rStyle w:val="28"/>
          <w:rFonts w:hint="eastAsia" w:ascii="黑体" w:hAnsi="黑体" w:eastAsia="黑体" w:cs="Times New Roman"/>
          <w:b/>
          <w:lang w:val="en-US" w:eastAsia="zh-CN"/>
        </w:rPr>
        <w:t>/</w:t>
      </w:r>
      <w:r>
        <w:rPr>
          <w:rStyle w:val="28"/>
          <w:rFonts w:ascii="黑体" w:hAnsi="黑体" w:eastAsia="黑体" w:cs="Times New Roman"/>
          <w:b/>
        </w:rPr>
        <w:t>VRMA；语音交互；动作重定向；适老化交互；工程复现</w:t>
      </w:r>
    </w:p>
    <w:p w14:paraId="0990D88C">
      <w:pPr>
        <w:pStyle w:val="50"/>
        <w:outlineLvl w:val="0"/>
        <w:rPr>
          <w:rFonts w:eastAsia="黑体"/>
          <w:lang w:eastAsia="zh-CN"/>
        </w:rPr>
      </w:pPr>
      <w:bookmarkStart w:id="2" w:name="_DHHeading_5001"/>
      <w:r>
        <w:t>1  调查目标、研究问题与方法</w:t>
      </w:r>
      <w:bookmarkEnd w:id="2"/>
    </w:p>
    <w:p w14:paraId="5A6BEB63">
      <w:pPr>
        <w:pStyle w:val="3"/>
        <w:spacing w:before="120" w:after="0"/>
        <w:ind w:left="0" w:firstLine="0"/>
      </w:pPr>
      <w:bookmarkStart w:id="3" w:name="_DHHeading_5002"/>
      <w:r>
        <w:t>1.1  从开发型成果转向调研型成果</w:t>
      </w:r>
      <w:bookmarkEnd w:id="3"/>
    </w:p>
    <w:p w14:paraId="69DCB3E8">
      <w:pPr>
        <w:ind w:right="0" w:firstLine="480"/>
      </w:pPr>
      <w:r>
        <w:t>本项目的调查目标不再只是说明</w:t>
      </w:r>
      <w:r>
        <w:rPr>
          <w:rFonts w:hint="eastAsia"/>
          <w:lang w:eastAsia="zh-CN"/>
        </w:rPr>
        <w:t>“</w:t>
      </w:r>
      <w:r>
        <w:t>做出了哪些按钮和页面</w:t>
      </w:r>
      <w:r>
        <w:rPr>
          <w:rFonts w:hint="eastAsia"/>
          <w:lang w:eastAsia="zh-CN"/>
        </w:rPr>
        <w:t>”</w:t>
      </w:r>
      <w:r>
        <w:t>，而是回答：在课程项目的资源约束下，哪些数字人技术组合可行，哪些问题来自算法、资产、运行环境或集成方式，现有证据支持到什么程度，下一届同学如何以较小代价继续验证和改进。</w:t>
      </w:r>
    </w:p>
    <w:p w14:paraId="74756215">
      <w:pPr>
        <w:ind w:right="0" w:firstLine="480"/>
      </w:pPr>
      <w:r>
        <w:t>因此，本报告把可运行原型视为研究载体，把技术取舍、失败原因、修复机制、验证方法及尚未解决的问题视为主要成果。没有对照实验的数据，不写成</w:t>
      </w:r>
      <w:r>
        <w:rPr>
          <w:rFonts w:hint="eastAsia"/>
          <w:lang w:eastAsia="zh-CN"/>
        </w:rPr>
        <w:t>“</w:t>
      </w:r>
      <w:r>
        <w:t>显著提升</w:t>
      </w:r>
      <w:r>
        <w:rPr>
          <w:rFonts w:hint="eastAsia"/>
          <w:lang w:eastAsia="zh-CN"/>
        </w:rPr>
        <w:t>”</w:t>
      </w:r>
      <w:r>
        <w:t>；无法从材料确认的开发动机，不编写成团队亲历事实。</w:t>
      </w:r>
    </w:p>
    <w:p w14:paraId="5A9F01DC">
      <w:pPr>
        <w:pStyle w:val="3"/>
        <w:spacing w:before="120" w:after="0"/>
        <w:ind w:left="0" w:firstLine="0"/>
      </w:pPr>
      <w:bookmarkStart w:id="4" w:name="_DHHeading_5003"/>
      <w:r>
        <w:t>1.2  研究问题</w:t>
      </w:r>
      <w:bookmarkEnd w:id="4"/>
    </w:p>
    <w:p w14:paraId="110E8026">
      <w:pPr>
        <w:keepNext/>
        <w:ind w:right="0" w:firstLine="420"/>
        <w:jc w:val="center"/>
      </w:pPr>
      <w:r>
        <w:rPr>
          <w:sz w:val="21"/>
          <w:szCs w:val="21"/>
        </w:rPr>
        <w:t>表1.2.1  研究问题与证据对应关系</w:t>
      </w:r>
    </w:p>
    <w:tbl>
      <w:tblPr>
        <w:tblStyle w:val="16"/>
        <w:tblW w:w="9070" w:type="dxa"/>
        <w:jc w:val="center"/>
        <w:tblBorders>
          <w:top w:val="single" w:color="000000" w:sz="8" w:space="0"/>
          <w:left w:val="none" w:color="000000" w:sz="0" w:space="0"/>
          <w:bottom w:val="single" w:color="000000" w:sz="8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</w:tblPr>
      <w:tblGrid>
        <w:gridCol w:w="1045"/>
        <w:gridCol w:w="4006"/>
        <w:gridCol w:w="4019"/>
      </w:tblGrid>
      <w:tr w14:paraId="6C5CD371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045" w:type="dxa"/>
            <w:tcBorders>
              <w:bottom w:val="single" w:color="000000" w:sz="6" w:space="0"/>
            </w:tcBorders>
            <w:vAlign w:val="center"/>
          </w:tcPr>
          <w:p w14:paraId="53660F17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b/>
                <w:sz w:val="21"/>
                <w:szCs w:val="21"/>
              </w:rPr>
              <w:t>编号</w:t>
            </w:r>
          </w:p>
        </w:tc>
        <w:tc>
          <w:tcPr>
            <w:tcW w:w="4006" w:type="dxa"/>
            <w:tcBorders>
              <w:bottom w:val="single" w:color="000000" w:sz="6" w:space="0"/>
            </w:tcBorders>
            <w:vAlign w:val="center"/>
          </w:tcPr>
          <w:p w14:paraId="0C954A70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b/>
                <w:sz w:val="21"/>
                <w:szCs w:val="21"/>
              </w:rPr>
              <w:t>研究问题</w:t>
            </w:r>
          </w:p>
        </w:tc>
        <w:tc>
          <w:tcPr>
            <w:tcW w:w="4019" w:type="dxa"/>
            <w:tcBorders>
              <w:bottom w:val="single" w:color="000000" w:sz="6" w:space="0"/>
            </w:tcBorders>
            <w:vAlign w:val="center"/>
          </w:tcPr>
          <w:p w14:paraId="191C18FF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b/>
                <w:sz w:val="21"/>
                <w:szCs w:val="21"/>
              </w:rPr>
              <w:t>本轮主要证据</w:t>
            </w:r>
          </w:p>
        </w:tc>
      </w:tr>
      <w:tr w14:paraId="6244518F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045" w:type="dxa"/>
            <w:vAlign w:val="center"/>
          </w:tcPr>
          <w:p w14:paraId="322D83D2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RQ1</w:t>
            </w:r>
          </w:p>
        </w:tc>
        <w:tc>
          <w:tcPr>
            <w:tcW w:w="4006" w:type="dxa"/>
            <w:vAlign w:val="center"/>
          </w:tcPr>
          <w:p w14:paraId="5E998519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浏览器三维路线能否支撑可拆分、可维护的交互原型？</w:t>
            </w:r>
          </w:p>
        </w:tc>
        <w:tc>
          <w:tcPr>
            <w:tcW w:w="4019" w:type="dxa"/>
            <w:vAlign w:val="center"/>
          </w:tcPr>
          <w:p w14:paraId="29FF5020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主入口、依赖清单、接口与降级设计</w:t>
            </w:r>
          </w:p>
        </w:tc>
      </w:tr>
      <w:tr w14:paraId="45072FAD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045" w:type="dxa"/>
            <w:vAlign w:val="center"/>
          </w:tcPr>
          <w:p w14:paraId="6650821E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RQ2</w:t>
            </w:r>
          </w:p>
        </w:tc>
        <w:tc>
          <w:tcPr>
            <w:tcW w:w="4006" w:type="dxa"/>
            <w:vAlign w:val="center"/>
          </w:tcPr>
          <w:p w14:paraId="7F2A1C85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语音、口型与肢体动作怎样协同，失败时怎样恢复？</w:t>
            </w:r>
          </w:p>
        </w:tc>
        <w:tc>
          <w:tcPr>
            <w:tcW w:w="4019" w:type="dxa"/>
            <w:vAlign w:val="center"/>
          </w:tcPr>
          <w:p w14:paraId="29C780ED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播报流程、TTS修复、动作集成记录</w:t>
            </w:r>
          </w:p>
        </w:tc>
      </w:tr>
      <w:tr w14:paraId="1F1E3094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045" w:type="dxa"/>
            <w:vAlign w:val="center"/>
          </w:tcPr>
          <w:p w14:paraId="11B7EC17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RQ3</w:t>
            </w:r>
          </w:p>
        </w:tc>
        <w:tc>
          <w:tcPr>
            <w:tcW w:w="4006" w:type="dxa"/>
            <w:vAlign w:val="center"/>
          </w:tcPr>
          <w:p w14:paraId="27F592E0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同一动作跨模型使用时，什么因素影响姿态质量？</w:t>
            </w:r>
          </w:p>
        </w:tc>
        <w:tc>
          <w:tcPr>
            <w:tcW w:w="4019" w:type="dxa"/>
            <w:vAlign w:val="center"/>
          </w:tcPr>
          <w:p w14:paraId="31A01222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动作迭代、站姿代码与骨架测试</w:t>
            </w:r>
          </w:p>
        </w:tc>
      </w:tr>
      <w:tr w14:paraId="214963F5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045" w:type="dxa"/>
            <w:vAlign w:val="center"/>
          </w:tcPr>
          <w:p w14:paraId="1C165783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RQ4</w:t>
            </w:r>
          </w:p>
        </w:tc>
        <w:tc>
          <w:tcPr>
            <w:tcW w:w="4006" w:type="dxa"/>
            <w:vAlign w:val="center"/>
          </w:tcPr>
          <w:p w14:paraId="75E3D9E2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普通聊天与需要确定性结果的业务如何分工？</w:t>
            </w:r>
          </w:p>
        </w:tc>
        <w:tc>
          <w:tcPr>
            <w:tcW w:w="4019" w:type="dxa"/>
            <w:vAlign w:val="center"/>
          </w:tcPr>
          <w:p w14:paraId="2C00DAA3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规则流程、数据库事务、模型网关边界</w:t>
            </w:r>
          </w:p>
        </w:tc>
      </w:tr>
      <w:tr w14:paraId="654A5E37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045" w:type="dxa"/>
            <w:vAlign w:val="center"/>
          </w:tcPr>
          <w:p w14:paraId="304DC5BC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RQ5</w:t>
            </w:r>
          </w:p>
        </w:tc>
        <w:tc>
          <w:tcPr>
            <w:tcW w:w="4006" w:type="dxa"/>
            <w:vAlign w:val="center"/>
          </w:tcPr>
          <w:p w14:paraId="259FACBB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现有成果距离可复现验证及真实用户适用性还差什么？</w:t>
            </w:r>
          </w:p>
        </w:tc>
        <w:tc>
          <w:tcPr>
            <w:tcW w:w="4019" w:type="dxa"/>
            <w:vAlign w:val="center"/>
          </w:tcPr>
          <w:p w14:paraId="45CFB9C1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阶段测试记录、依赖要求、缺项分析</w:t>
            </w:r>
          </w:p>
        </w:tc>
      </w:tr>
    </w:tbl>
    <w:p w14:paraId="1F11D571">
      <w:pPr>
        <w:pStyle w:val="3"/>
        <w:spacing w:before="120" w:after="0"/>
        <w:ind w:left="0" w:firstLine="0"/>
      </w:pPr>
      <w:bookmarkStart w:id="5" w:name="_DHHeading_5005"/>
      <w:r>
        <w:t>1.</w:t>
      </w:r>
      <w:r>
        <w:rPr>
          <w:rFonts w:hint="eastAsia"/>
          <w:lang w:val="en-US" w:eastAsia="zh-CN"/>
        </w:rPr>
        <w:t>3</w:t>
      </w:r>
      <w:r>
        <w:t xml:space="preserve">  复现单位</w:t>
      </w:r>
      <w:bookmarkEnd w:id="5"/>
    </w:p>
    <w:p w14:paraId="6C4E7351">
      <w:pPr>
        <w:ind w:right="0" w:firstLine="480"/>
        <w:sectPr>
          <w:headerReference r:id="rId10" w:type="first"/>
          <w:footerReference r:id="rId12" w:type="first"/>
          <w:headerReference r:id="rId9" w:type="default"/>
          <w:footerReference r:id="rId11" w:type="default"/>
          <w:pgSz w:w="11906" w:h="16838"/>
          <w:pgMar w:top="1985" w:right="1418" w:bottom="1418" w:left="1418" w:header="1418" w:footer="1134" w:gutter="0"/>
          <w:pgNumType w:fmt="decimal" w:start="1"/>
          <w:cols w:space="720" w:num="1"/>
          <w:formProt w:val="0"/>
          <w:docGrid w:linePitch="326" w:charSpace="-2049"/>
        </w:sectPr>
      </w:pPr>
      <w:r>
        <w:t>建议后续每项结果绑定五个要素：代码提交、资产哈希、环境版本、测试输入、原始输出。</w:t>
      </w:r>
    </w:p>
    <w:p w14:paraId="4F53631F">
      <w:pPr>
        <w:pStyle w:val="2"/>
        <w:numPr>
          <w:ilvl w:val="0"/>
          <w:numId w:val="0"/>
        </w:numPr>
        <w:ind w:leftChars="0"/>
        <w:outlineLvl w:val="0"/>
      </w:pPr>
      <w:bookmarkStart w:id="6" w:name="_DHHeading_5006"/>
      <w:r>
        <w:t>2  当前系统与技术路线</w:t>
      </w:r>
      <w:bookmarkEnd w:id="6"/>
    </w:p>
    <w:p w14:paraId="26BD3A83">
      <w:pPr>
        <w:pStyle w:val="3"/>
        <w:spacing w:before="120" w:after="0"/>
        <w:ind w:left="0" w:firstLine="0"/>
      </w:pPr>
      <w:bookmarkStart w:id="7" w:name="_DHHeading_5007"/>
      <w:r>
        <w:t>2.1  当前主线与系统边界</w:t>
      </w:r>
      <w:bookmarkEnd w:id="7"/>
    </w:p>
    <w:p w14:paraId="60B3038F">
      <w:pPr>
        <w:ind w:right="0" w:firstLine="480"/>
      </w:pPr>
      <w:r>
        <w:t>主应用入口为 vrm_demo/vrm_server.py，页面为 VRMCharacter.html。</w:t>
      </w:r>
    </w:p>
    <w:p w14:paraId="10ECCD74">
      <w:pPr>
        <w:keepNext/>
        <w:ind w:right="0" w:firstLine="420"/>
        <w:jc w:val="center"/>
      </w:pPr>
      <w:r>
        <w:rPr>
          <w:sz w:val="21"/>
          <w:szCs w:val="21"/>
        </w:rPr>
        <w:t>表2.1.1  当前系统技术分层与职责边界</w:t>
      </w:r>
    </w:p>
    <w:tbl>
      <w:tblPr>
        <w:tblStyle w:val="16"/>
        <w:tblW w:w="9070" w:type="dxa"/>
        <w:jc w:val="center"/>
        <w:tblBorders>
          <w:top w:val="single" w:color="000000" w:sz="8" w:space="0"/>
          <w:left w:val="none" w:color="000000" w:sz="0" w:space="0"/>
          <w:bottom w:val="single" w:color="000000" w:sz="8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</w:tblPr>
      <w:tblGrid>
        <w:gridCol w:w="1088"/>
        <w:gridCol w:w="3356"/>
        <w:gridCol w:w="4626"/>
      </w:tblGrid>
      <w:tr w14:paraId="37287773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088" w:type="dxa"/>
            <w:tcBorders>
              <w:bottom w:val="single" w:color="000000" w:sz="6" w:space="0"/>
            </w:tcBorders>
            <w:vAlign w:val="center"/>
          </w:tcPr>
          <w:p w14:paraId="30F29393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b/>
                <w:sz w:val="21"/>
                <w:szCs w:val="21"/>
              </w:rPr>
              <w:t>层次</w:t>
            </w:r>
          </w:p>
        </w:tc>
        <w:tc>
          <w:tcPr>
            <w:tcW w:w="3356" w:type="dxa"/>
            <w:tcBorders>
              <w:bottom w:val="single" w:color="000000" w:sz="6" w:space="0"/>
            </w:tcBorders>
            <w:vAlign w:val="center"/>
          </w:tcPr>
          <w:p w14:paraId="4C8C712A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b/>
                <w:sz w:val="21"/>
                <w:szCs w:val="21"/>
              </w:rPr>
              <w:t>当前采用的技术</w:t>
            </w:r>
          </w:p>
        </w:tc>
        <w:tc>
          <w:tcPr>
            <w:tcW w:w="4626" w:type="dxa"/>
            <w:tcBorders>
              <w:bottom w:val="single" w:color="000000" w:sz="6" w:space="0"/>
            </w:tcBorders>
            <w:vAlign w:val="center"/>
          </w:tcPr>
          <w:p w14:paraId="15815B73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b/>
                <w:sz w:val="21"/>
                <w:szCs w:val="21"/>
              </w:rPr>
              <w:t>职责与边界</w:t>
            </w:r>
          </w:p>
        </w:tc>
      </w:tr>
      <w:tr w14:paraId="052DC94D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088" w:type="dxa"/>
            <w:vAlign w:val="center"/>
          </w:tcPr>
          <w:p w14:paraId="173251FF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交互层</w:t>
            </w:r>
          </w:p>
        </w:tc>
        <w:tc>
          <w:tcPr>
            <w:tcW w:w="3356" w:type="dxa"/>
            <w:vAlign w:val="center"/>
          </w:tcPr>
          <w:p w14:paraId="6D8A2404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HTML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/</w:t>
            </w:r>
            <w:r>
              <w:rPr>
                <w:sz w:val="21"/>
                <w:szCs w:val="21"/>
              </w:rPr>
              <w:t>CSS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/</w:t>
            </w:r>
            <w:r>
              <w:rPr>
                <w:sz w:val="21"/>
                <w:szCs w:val="21"/>
              </w:rPr>
              <w:t>JavaScript；Web Speech API</w:t>
            </w:r>
          </w:p>
        </w:tc>
        <w:tc>
          <w:tcPr>
            <w:tcW w:w="4626" w:type="dxa"/>
            <w:vAlign w:val="center"/>
          </w:tcPr>
          <w:p w14:paraId="6C819D81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文字、按钮和语音输入；状态提示与大字号；语音识别依赖浏览器能力</w:t>
            </w:r>
          </w:p>
        </w:tc>
      </w:tr>
      <w:tr w14:paraId="5BF953E0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088" w:type="dxa"/>
            <w:vAlign w:val="center"/>
          </w:tcPr>
          <w:p w14:paraId="75E0A883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三维层</w:t>
            </w:r>
          </w:p>
        </w:tc>
        <w:tc>
          <w:tcPr>
            <w:tcW w:w="3356" w:type="dxa"/>
            <w:vAlign w:val="center"/>
          </w:tcPr>
          <w:p w14:paraId="33075F47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Three.js 0.180.0；three-vrm 3.5.5；three-vrm-animation</w:t>
            </w:r>
          </w:p>
        </w:tc>
        <w:tc>
          <w:tcPr>
            <w:tcW w:w="4626" w:type="dxa"/>
            <w:vAlign w:val="center"/>
          </w:tcPr>
          <w:p w14:paraId="78BC0D9B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VRM形象、VRMA动作、场景、骨架与表情；不是视频生成模型推理</w:t>
            </w:r>
          </w:p>
        </w:tc>
      </w:tr>
      <w:tr w14:paraId="7790B02A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088" w:type="dxa"/>
            <w:vAlign w:val="center"/>
          </w:tcPr>
          <w:p w14:paraId="2586D5FF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音频层</w:t>
            </w:r>
          </w:p>
        </w:tc>
        <w:tc>
          <w:tcPr>
            <w:tcW w:w="3356" w:type="dxa"/>
            <w:vAlign w:val="center"/>
          </w:tcPr>
          <w:p w14:paraId="213B8CDA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Web Audio API；Edge TTS；可选外部TTS；PyAV与Rhubarb</w:t>
            </w:r>
          </w:p>
        </w:tc>
        <w:tc>
          <w:tcPr>
            <w:tcW w:w="4626" w:type="dxa"/>
            <w:vAlign w:val="center"/>
          </w:tcPr>
          <w:p w14:paraId="4022EE20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播报、解码与口型分析；各环节可独立失败</w:t>
            </w:r>
          </w:p>
        </w:tc>
      </w:tr>
      <w:tr w14:paraId="2D3013C2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088" w:type="dxa"/>
            <w:vAlign w:val="center"/>
          </w:tcPr>
          <w:p w14:paraId="181C2A2D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服务层</w:t>
            </w:r>
          </w:p>
        </w:tc>
        <w:tc>
          <w:tcPr>
            <w:tcW w:w="3356" w:type="dxa"/>
            <w:vAlign w:val="center"/>
          </w:tcPr>
          <w:p w14:paraId="1E587C13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FastAPI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/</w:t>
            </w:r>
            <w:r>
              <w:rPr>
                <w:sz w:val="21"/>
                <w:szCs w:val="21"/>
              </w:rPr>
              <w:t>Uvicorn；规则流程；可选模型网关</w:t>
            </w:r>
          </w:p>
        </w:tc>
        <w:tc>
          <w:tcPr>
            <w:tcW w:w="4626" w:type="dxa"/>
            <w:vAlign w:val="center"/>
          </w:tcPr>
          <w:p w14:paraId="5B7D33A2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/api/chat、/api/tts及资源接口；模型不执行预约等业务</w:t>
            </w:r>
          </w:p>
        </w:tc>
      </w:tr>
      <w:tr w14:paraId="2EFAA10A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088" w:type="dxa"/>
            <w:vAlign w:val="center"/>
          </w:tcPr>
          <w:p w14:paraId="47908CF1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数据层</w:t>
            </w:r>
          </w:p>
        </w:tc>
        <w:tc>
          <w:tcPr>
            <w:tcW w:w="3356" w:type="dxa"/>
            <w:vAlign w:val="center"/>
          </w:tcPr>
          <w:p w14:paraId="334B4DF9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可选SQLite；MySQL接入接口</w:t>
            </w:r>
          </w:p>
        </w:tc>
        <w:tc>
          <w:tcPr>
            <w:tcW w:w="4626" w:type="dxa"/>
            <w:vAlign w:val="center"/>
          </w:tcPr>
          <w:p w14:paraId="34489D24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虚构记录与模拟预约；数据库默认关闭；无真实用户身份体系</w:t>
            </w:r>
          </w:p>
        </w:tc>
      </w:tr>
    </w:tbl>
    <w:p w14:paraId="12484B57">
      <w:pPr>
        <w:pStyle w:val="3"/>
        <w:spacing w:before="120" w:after="0"/>
        <w:ind w:left="0" w:firstLine="0"/>
      </w:pPr>
      <w:bookmarkStart w:id="8" w:name="_DHHeading_5008"/>
      <w:r>
        <w:t xml:space="preserve">2.2  </w:t>
      </w:r>
      <w:bookmarkEnd w:id="8"/>
      <w:r>
        <w:rPr>
          <w:rFonts w:hint="eastAsia"/>
          <w:lang w:val="en-US" w:eastAsia="zh-CN"/>
        </w:rPr>
        <w:t>交互分工与注意事项</w:t>
      </w:r>
    </w:p>
    <w:p w14:paraId="06AA8D40">
      <w:pPr>
        <w:ind w:right="0" w:firstLine="480"/>
      </w:pPr>
      <w:r>
        <w:t>用户输入首先交给对话接口；接口返回 reply、context、quick_replies、action 等字段。前端先显示文字，再按句请求语音。声音进入实际播放阶段后，相关肢体动作按照播报时钟推进；嘴型则通过音频时间轴及能量驱动。数据库模式只对相应业务查询与写入生效。</w:t>
      </w:r>
    </w:p>
    <w:p w14:paraId="73E034DD">
      <w:pPr>
        <w:ind w:right="0" w:firstLine="48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以下为不能混淆的注意事项：</w:t>
      </w:r>
    </w:p>
    <w:p w14:paraId="40C3404E">
      <w:pPr>
        <w:ind w:right="0" w:firstLine="480"/>
      </w:pPr>
      <w:r>
        <w:rPr>
          <w:rFonts w:hint="eastAsia"/>
          <w:lang w:val="en-US" w:eastAsia="zh-CN"/>
        </w:rPr>
        <w:t>①</w:t>
      </w:r>
      <w:r>
        <w:t>规则式多步业务不等于大模型多轮记忆</w:t>
      </w:r>
      <w:r>
        <w:rPr>
          <w:rFonts w:hint="eastAsia"/>
          <w:lang w:eastAsia="zh-CN"/>
        </w:rPr>
        <w:t>：</w:t>
      </w:r>
      <w:r>
        <w:t xml:space="preserve"> 预约有流程上下文；当前外部模型调用仍是单轮。</w:t>
      </w:r>
    </w:p>
    <w:p w14:paraId="0D1E0680">
      <w:pPr>
        <w:ind w:right="0" w:firstLine="480"/>
      </w:pPr>
      <w:r>
        <w:rPr>
          <w:rFonts w:hint="eastAsia"/>
          <w:lang w:val="en-US" w:eastAsia="zh-CN"/>
        </w:rPr>
        <w:t>②</w:t>
      </w:r>
      <w:r>
        <w:t>分句请求与预取不等于端到端实时流式语音</w:t>
      </w:r>
      <w:r>
        <w:rPr>
          <w:rFonts w:hint="eastAsia"/>
          <w:lang w:eastAsia="zh-CN"/>
        </w:rPr>
        <w:t>：</w:t>
      </w:r>
      <w:r>
        <w:t>当前接口主要返回每句的音频与口型数据，不应描述为边生成每个音频字节边驱动全链路。</w:t>
      </w:r>
    </w:p>
    <w:p w14:paraId="72AB8AD3">
      <w:pPr>
        <w:ind w:right="0" w:firstLine="480"/>
      </w:pPr>
      <w:r>
        <w:rPr>
          <w:rFonts w:hint="eastAsia"/>
          <w:lang w:val="en-US" w:eastAsia="zh-CN"/>
        </w:rPr>
        <w:t>③</w:t>
      </w:r>
      <w:r>
        <w:t>可选数据库接口不等于医院系统接入</w:t>
      </w:r>
      <w:r>
        <w:rPr>
          <w:rFonts w:hint="eastAsia"/>
          <w:lang w:eastAsia="zh-CN"/>
        </w:rPr>
        <w:t>：</w:t>
      </w:r>
      <w:r>
        <w:t xml:space="preserve"> 数据来源与身份均为演示设置，联系家人也不实际发送消息。</w:t>
      </w:r>
    </w:p>
    <w:p w14:paraId="7D1A429E">
      <w:pPr>
        <w:pStyle w:val="3"/>
        <w:spacing w:before="120" w:after="0"/>
        <w:ind w:left="0" w:firstLine="0"/>
      </w:pPr>
      <w:bookmarkStart w:id="9" w:name="_DHHeading_5010"/>
      <w:r>
        <w:t>2.</w:t>
      </w:r>
      <w:r>
        <w:rPr>
          <w:rFonts w:hint="eastAsia"/>
          <w:lang w:val="en-US" w:eastAsia="zh-CN"/>
        </w:rPr>
        <w:t>3</w:t>
      </w:r>
      <w:r>
        <w:t xml:space="preserve">  路线比较</w:t>
      </w:r>
      <w:bookmarkEnd w:id="9"/>
    </w:p>
    <w:p w14:paraId="48AEF4F0">
      <w:pPr>
        <w:keepNext/>
        <w:ind w:right="0" w:firstLine="420"/>
        <w:jc w:val="center"/>
      </w:pPr>
      <w:r>
        <w:rPr>
          <w:sz w:val="21"/>
          <w:szCs w:val="21"/>
        </w:rPr>
        <w:t>表2.</w:t>
      </w:r>
      <w:r>
        <w:rPr>
          <w:rFonts w:hint="eastAsia"/>
          <w:sz w:val="21"/>
          <w:szCs w:val="21"/>
          <w:lang w:val="en-US" w:eastAsia="zh-CN"/>
        </w:rPr>
        <w:t>3</w:t>
      </w:r>
      <w:r>
        <w:rPr>
          <w:sz w:val="21"/>
          <w:szCs w:val="21"/>
        </w:rPr>
        <w:t>.1  技术路线取舍与适用条件</w:t>
      </w:r>
    </w:p>
    <w:tbl>
      <w:tblPr>
        <w:tblStyle w:val="16"/>
        <w:tblW w:w="9070" w:type="dxa"/>
        <w:jc w:val="center"/>
        <w:tblBorders>
          <w:top w:val="single" w:color="000000" w:sz="8" w:space="0"/>
          <w:left w:val="none" w:color="000000" w:sz="0" w:space="0"/>
          <w:bottom w:val="single" w:color="000000" w:sz="8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</w:tblPr>
      <w:tblGrid>
        <w:gridCol w:w="1790"/>
        <w:gridCol w:w="3652"/>
        <w:gridCol w:w="3628"/>
      </w:tblGrid>
      <w:tr w14:paraId="0865193C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790" w:type="dxa"/>
            <w:tcBorders>
              <w:bottom w:val="single" w:color="000000" w:sz="6" w:space="0"/>
            </w:tcBorders>
            <w:vAlign w:val="center"/>
          </w:tcPr>
          <w:p w14:paraId="5BD0445A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b/>
                <w:sz w:val="21"/>
                <w:szCs w:val="21"/>
              </w:rPr>
              <w:t>决策点</w:t>
            </w:r>
          </w:p>
        </w:tc>
        <w:tc>
          <w:tcPr>
            <w:tcW w:w="3652" w:type="dxa"/>
            <w:tcBorders>
              <w:bottom w:val="single" w:color="000000" w:sz="6" w:space="0"/>
            </w:tcBorders>
            <w:vAlign w:val="center"/>
          </w:tcPr>
          <w:p w14:paraId="7B3DD69D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b/>
                <w:sz w:val="21"/>
                <w:szCs w:val="21"/>
              </w:rPr>
              <w:t>当前选择与原因分析</w:t>
            </w:r>
          </w:p>
        </w:tc>
        <w:tc>
          <w:tcPr>
            <w:tcW w:w="3628" w:type="dxa"/>
            <w:tcBorders>
              <w:bottom w:val="single" w:color="000000" w:sz="6" w:space="0"/>
            </w:tcBorders>
            <w:vAlign w:val="center"/>
          </w:tcPr>
          <w:p w14:paraId="5ACA0CBD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b/>
                <w:sz w:val="21"/>
                <w:szCs w:val="21"/>
              </w:rPr>
              <w:t>代价、替代方向与证据边界</w:t>
            </w:r>
          </w:p>
        </w:tc>
      </w:tr>
      <w:tr w14:paraId="23EDC0C5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790" w:type="dxa"/>
            <w:vAlign w:val="center"/>
          </w:tcPr>
          <w:p w14:paraId="1EB89A50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视频素材路线／VRM实时渲染</w:t>
            </w:r>
          </w:p>
        </w:tc>
        <w:tc>
          <w:tcPr>
            <w:tcW w:w="3652" w:type="dxa"/>
            <w:vAlign w:val="center"/>
          </w:tcPr>
          <w:p w14:paraId="31973E9F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当前主线选择VRM，便于替换形象、控制视角、复用标准骨骼动作</w:t>
            </w:r>
          </w:p>
        </w:tc>
        <w:tc>
          <w:tcPr>
            <w:tcW w:w="3628" w:type="dxa"/>
            <w:vAlign w:val="center"/>
          </w:tcPr>
          <w:p w14:paraId="1DB5A5A0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旧路线仍依赖视频处理与模型权重；未做同条件画质、延迟、资源消耗对比，不能据此证明VRM全面更优</w:t>
            </w:r>
          </w:p>
        </w:tc>
      </w:tr>
      <w:tr w14:paraId="4E16750F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790" w:type="dxa"/>
            <w:vAlign w:val="center"/>
          </w:tcPr>
          <w:p w14:paraId="71308C8D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浏览器语音／独立ASR服务</w:t>
            </w:r>
          </w:p>
        </w:tc>
        <w:tc>
          <w:tcPr>
            <w:tcW w:w="3652" w:type="dxa"/>
            <w:vAlign w:val="center"/>
          </w:tcPr>
          <w:p w14:paraId="33109749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使用浏览器接口降低原型接入工作量，并保留文字和按钮</w:t>
            </w:r>
          </w:p>
        </w:tc>
        <w:tc>
          <w:tcPr>
            <w:tcW w:w="3628" w:type="dxa"/>
            <w:vAlign w:val="center"/>
          </w:tcPr>
          <w:p w14:paraId="6230F996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兼容性、联网方式、语言包与权限不完全由项目控制；独立ASR需另测部署、隐私与准确性</w:t>
            </w:r>
          </w:p>
        </w:tc>
      </w:tr>
      <w:tr w14:paraId="6F1D06E1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790" w:type="dxa"/>
            <w:vAlign w:val="center"/>
          </w:tcPr>
          <w:p w14:paraId="2F6F5017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在线TTS／本地TTS</w:t>
            </w:r>
          </w:p>
        </w:tc>
        <w:tc>
          <w:tcPr>
            <w:tcW w:w="3652" w:type="dxa"/>
            <w:vAlign w:val="center"/>
          </w:tcPr>
          <w:p w14:paraId="2F578908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现有在线服务便于接入多种声音；提供浏览器备用播报</w:t>
            </w:r>
          </w:p>
        </w:tc>
        <w:tc>
          <w:tcPr>
            <w:tcW w:w="3628" w:type="dxa"/>
            <w:vAlign w:val="center"/>
          </w:tcPr>
          <w:p w14:paraId="49BCE2CC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上游接口会变化；本地方案需评估中文效果、算力与模型授权；尚无同条件音质结论</w:t>
            </w:r>
          </w:p>
        </w:tc>
      </w:tr>
      <w:tr w14:paraId="6165883B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790" w:type="dxa"/>
            <w:vAlign w:val="center"/>
          </w:tcPr>
          <w:p w14:paraId="34A1107B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规则流程／模型主导</w:t>
            </w:r>
          </w:p>
        </w:tc>
        <w:tc>
          <w:tcPr>
            <w:tcW w:w="3652" w:type="dxa"/>
            <w:vAlign w:val="center"/>
          </w:tcPr>
          <w:p w14:paraId="61AA0733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预约与预警采用确定性状态转换，普通聊天才可交给模型</w:t>
            </w:r>
          </w:p>
        </w:tc>
        <w:tc>
          <w:tcPr>
            <w:tcW w:w="3628" w:type="dxa"/>
            <w:vAlign w:val="center"/>
          </w:tcPr>
          <w:p w14:paraId="0710AE50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规则覆盖有限；模型也不能只靠提示词获得业务执行权限；扩展意图需做冲突与越权测试</w:t>
            </w:r>
          </w:p>
        </w:tc>
      </w:tr>
      <w:tr w14:paraId="4C1E23FB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790" w:type="dxa"/>
            <w:vAlign w:val="center"/>
          </w:tcPr>
          <w:p w14:paraId="66C3001B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SQLite／MySQL</w:t>
            </w:r>
          </w:p>
        </w:tc>
        <w:tc>
          <w:tcPr>
            <w:tcW w:w="3652" w:type="dxa"/>
            <w:vAlign w:val="center"/>
          </w:tcPr>
          <w:p w14:paraId="5F231B3C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SQLite种子库与运行副本便于课堂复现，统一仓储接口保留MySQL扩展</w:t>
            </w:r>
          </w:p>
        </w:tc>
        <w:tc>
          <w:tcPr>
            <w:tcW w:w="3628" w:type="dxa"/>
            <w:vAlign w:val="center"/>
          </w:tcPr>
          <w:p w14:paraId="0AC08E2F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MySQL需独立准备数据；模拟连接测试不能替代真实数据库事务与并发验证</w:t>
            </w:r>
          </w:p>
        </w:tc>
      </w:tr>
    </w:tbl>
    <w:p w14:paraId="54320325">
      <w:pPr>
        <w:pStyle w:val="3"/>
        <w:spacing w:before="120" w:after="0"/>
        <w:ind w:left="0" w:firstLine="0"/>
      </w:pPr>
      <w:bookmarkStart w:id="10" w:name="_DHHeading_5011"/>
      <w:r>
        <w:t>2.</w:t>
      </w:r>
      <w:r>
        <w:rPr>
          <w:rFonts w:hint="eastAsia"/>
          <w:lang w:val="en-US" w:eastAsia="zh-CN"/>
        </w:rPr>
        <w:t>4</w:t>
      </w:r>
      <w:r>
        <w:t xml:space="preserve">  标准化的收益与上限</w:t>
      </w:r>
      <w:bookmarkEnd w:id="10"/>
    </w:p>
    <w:p w14:paraId="200BE23A">
      <w:pPr>
        <w:ind w:right="0" w:firstLine="480"/>
      </w:pPr>
      <w:r>
        <w:t>VRMA描述人形骨骼、表情等动画信息，提供跨模型复用的标准基础；但目标角色的腿长、初始站姿、局部轴和蒙皮形变仍会影响结果。</w:t>
      </w:r>
    </w:p>
    <w:p w14:paraId="093F2794">
      <w:pPr>
        <w:ind w:right="0" w:firstLine="480"/>
      </w:pPr>
      <w:r>
        <w:t>浏览器语音识别也不能被默认当成离线能力。官方文档说明部分浏览器使用服务端识别；新增的本地处理能力需要按浏览器、语言包和配置验证。</w:t>
      </w:r>
    </w:p>
    <w:p w14:paraId="15C814D8">
      <w:pPr>
        <w:pStyle w:val="3"/>
        <w:spacing w:before="120" w:after="0"/>
        <w:ind w:left="0" w:firstLine="0"/>
      </w:pPr>
      <w:bookmarkStart w:id="11" w:name="_DHHeading_5012"/>
      <w:r>
        <w:t>2.</w:t>
      </w:r>
      <w:r>
        <w:rPr>
          <w:rFonts w:hint="eastAsia"/>
          <w:lang w:val="en-US" w:eastAsia="zh-CN"/>
        </w:rPr>
        <w:t>5</w:t>
      </w:r>
      <w:r>
        <w:t xml:space="preserve">  结论</w:t>
      </w:r>
      <w:bookmarkEnd w:id="11"/>
    </w:p>
    <w:p w14:paraId="00323F78">
      <w:pPr>
        <w:ind w:right="0" w:firstLine="480"/>
      </w:pPr>
      <w:r>
        <w:t>在健康服务演示原型的约束下，保留</w:t>
      </w:r>
      <w:r>
        <w:rPr>
          <w:rFonts w:hint="eastAsia"/>
          <w:lang w:eastAsia="zh-CN"/>
        </w:rPr>
        <w:t>“</w:t>
      </w:r>
      <w:r>
        <w:t>规则业务</w:t>
      </w:r>
      <w:r>
        <w:rPr>
          <w:rFonts w:hint="eastAsia"/>
          <w:lang w:val="en-US" w:eastAsia="zh-CN"/>
        </w:rPr>
        <w:t>+</w:t>
      </w:r>
      <w:r>
        <w:t>可选模型</w:t>
      </w:r>
      <w:r>
        <w:rPr>
          <w:rFonts w:hint="eastAsia"/>
          <w:lang w:val="en-US" w:eastAsia="zh-CN"/>
        </w:rPr>
        <w:t>+</w:t>
      </w:r>
      <w:r>
        <w:t>浏览器三维</w:t>
      </w:r>
      <w:r>
        <w:rPr>
          <w:rFonts w:hint="eastAsia"/>
          <w:lang w:val="en-US" w:eastAsia="zh-CN"/>
        </w:rPr>
        <w:t>+</w:t>
      </w:r>
      <w:r>
        <w:t>多级语音备用</w:t>
      </w:r>
      <w:r>
        <w:rPr>
          <w:rFonts w:hint="eastAsia"/>
          <w:lang w:eastAsia="zh-CN"/>
        </w:rPr>
        <w:t>”</w:t>
      </w:r>
      <w:r>
        <w:t>是合理的阶段方案。下一步应分别测量各模块的质量与成本，而不是为了技术栈更复杂而一次性替换所有模块。</w:t>
      </w:r>
    </w:p>
    <w:p w14:paraId="6FA67A27">
      <w:pPr>
        <w:pStyle w:val="2"/>
        <w:ind w:left="0" w:firstLine="0"/>
        <w:outlineLvl w:val="0"/>
        <w:rPr>
          <w:rFonts w:eastAsia="宋体"/>
        </w:rPr>
      </w:pPr>
      <w:bookmarkStart w:id="12" w:name="_DHHeading_5013"/>
      <w:r>
        <w:t>3  已取得的阶段进展</w:t>
      </w:r>
      <w:bookmarkEnd w:id="12"/>
    </w:p>
    <w:p w14:paraId="7FB83B45">
      <w:pPr>
        <w:keepNext/>
        <w:ind w:right="0" w:firstLine="420"/>
        <w:jc w:val="center"/>
      </w:pPr>
      <w:r>
        <w:rPr>
          <w:sz w:val="21"/>
          <w:szCs w:val="21"/>
        </w:rPr>
        <w:t>表3.1  阶段进展与可支持的结论</w:t>
      </w:r>
    </w:p>
    <w:tbl>
      <w:tblPr>
        <w:tblStyle w:val="16"/>
        <w:tblW w:w="9070" w:type="dxa"/>
        <w:jc w:val="center"/>
        <w:tblBorders>
          <w:top w:val="single" w:color="000000" w:sz="8" w:space="0"/>
          <w:left w:val="none" w:color="000000" w:sz="0" w:space="0"/>
          <w:bottom w:val="single" w:color="000000" w:sz="8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</w:tblPr>
      <w:tblGrid>
        <w:gridCol w:w="1415"/>
        <w:gridCol w:w="4031"/>
        <w:gridCol w:w="3624"/>
      </w:tblGrid>
      <w:tr w14:paraId="1189E3BD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415" w:type="dxa"/>
            <w:tcBorders>
              <w:bottom w:val="single" w:color="000000" w:sz="6" w:space="0"/>
            </w:tcBorders>
            <w:vAlign w:val="center"/>
          </w:tcPr>
          <w:p w14:paraId="40630D9C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b/>
                <w:sz w:val="21"/>
                <w:szCs w:val="21"/>
              </w:rPr>
              <w:t>方向</w:t>
            </w:r>
          </w:p>
        </w:tc>
        <w:tc>
          <w:tcPr>
            <w:tcW w:w="4031" w:type="dxa"/>
            <w:tcBorders>
              <w:bottom w:val="single" w:color="000000" w:sz="6" w:space="0"/>
            </w:tcBorders>
            <w:vAlign w:val="center"/>
          </w:tcPr>
          <w:p w14:paraId="03189397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b/>
                <w:sz w:val="21"/>
                <w:szCs w:val="21"/>
              </w:rPr>
              <w:t>已形成的成果</w:t>
            </w:r>
          </w:p>
        </w:tc>
        <w:tc>
          <w:tcPr>
            <w:tcW w:w="3624" w:type="dxa"/>
            <w:tcBorders>
              <w:bottom w:val="single" w:color="000000" w:sz="6" w:space="0"/>
            </w:tcBorders>
            <w:vAlign w:val="center"/>
          </w:tcPr>
          <w:p w14:paraId="0E4B533C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b/>
                <w:sz w:val="21"/>
                <w:szCs w:val="21"/>
              </w:rPr>
              <w:t>可以支持的阶段结论</w:t>
            </w:r>
          </w:p>
        </w:tc>
      </w:tr>
      <w:tr w14:paraId="02AA215C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415" w:type="dxa"/>
            <w:vAlign w:val="center"/>
          </w:tcPr>
          <w:p w14:paraId="7F4A4F7D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可拆分交互</w:t>
            </w:r>
          </w:p>
        </w:tc>
        <w:tc>
          <w:tcPr>
            <w:tcW w:w="4031" w:type="dxa"/>
            <w:vAlign w:val="center"/>
          </w:tcPr>
          <w:p w14:paraId="43387A44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无模型时仍可进行文字与业务交互；语音存在备用路径</w:t>
            </w:r>
          </w:p>
        </w:tc>
        <w:tc>
          <w:tcPr>
            <w:tcW w:w="3624" w:type="dxa"/>
            <w:vAlign w:val="center"/>
          </w:tcPr>
          <w:p w14:paraId="76169F45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展示资源与业务入口已实现一定程度的解耦</w:t>
            </w:r>
          </w:p>
        </w:tc>
      </w:tr>
      <w:tr w14:paraId="4293BD20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415" w:type="dxa"/>
            <w:vAlign w:val="center"/>
          </w:tcPr>
          <w:p w14:paraId="342E1F29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场景与人物</w:t>
            </w:r>
          </w:p>
        </w:tc>
        <w:tc>
          <w:tcPr>
            <w:tcW w:w="4031" w:type="dxa"/>
            <w:vAlign w:val="center"/>
          </w:tcPr>
          <w:p w14:paraId="16ACD2F7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三个医院演示场景；人物选择、视角适配和设置保存</w:t>
            </w:r>
          </w:p>
        </w:tc>
        <w:tc>
          <w:tcPr>
            <w:tcW w:w="3624" w:type="dxa"/>
            <w:vAlign w:val="center"/>
          </w:tcPr>
          <w:p w14:paraId="323ACF23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已形成可配置展示原型</w:t>
            </w:r>
          </w:p>
        </w:tc>
      </w:tr>
      <w:tr w14:paraId="711A9311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415" w:type="dxa"/>
            <w:vAlign w:val="center"/>
          </w:tcPr>
          <w:p w14:paraId="702520AD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业务与数据</w:t>
            </w:r>
          </w:p>
        </w:tc>
        <w:tc>
          <w:tcPr>
            <w:tcW w:w="4031" w:type="dxa"/>
            <w:vAlign w:val="center"/>
          </w:tcPr>
          <w:p w14:paraId="19E49905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科室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/</w:t>
            </w:r>
            <w:r>
              <w:rPr>
                <w:sz w:val="21"/>
                <w:szCs w:val="21"/>
              </w:rPr>
              <w:t>时段查询、模拟预约写入、预警状态更新</w:t>
            </w:r>
          </w:p>
        </w:tc>
        <w:tc>
          <w:tcPr>
            <w:tcW w:w="3624" w:type="dxa"/>
            <w:vAlign w:val="center"/>
          </w:tcPr>
          <w:p w14:paraId="6EFF2F31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数据库模式已超出固定成功话术，但仍属于虚构单用户演示</w:t>
            </w:r>
          </w:p>
        </w:tc>
      </w:tr>
      <w:tr w14:paraId="15070B9C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415" w:type="dxa"/>
            <w:vAlign w:val="center"/>
          </w:tcPr>
          <w:p w14:paraId="57744F9F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资产制作</w:t>
            </w:r>
          </w:p>
        </w:tc>
        <w:tc>
          <w:tcPr>
            <w:tcW w:w="4031" w:type="dxa"/>
            <w:vAlign w:val="center"/>
          </w:tcPr>
          <w:p w14:paraId="57C5B28F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可编辑工程、动作导出、回导检查、历史审核材料</w:t>
            </w:r>
          </w:p>
        </w:tc>
        <w:tc>
          <w:tcPr>
            <w:tcW w:w="3624" w:type="dxa"/>
            <w:vAlign w:val="center"/>
          </w:tcPr>
          <w:p w14:paraId="3B3D61F1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形成了从制作到运行检查的资产流程</w:t>
            </w:r>
          </w:p>
        </w:tc>
      </w:tr>
      <w:tr w14:paraId="7AEF39E6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415" w:type="dxa"/>
            <w:vAlign w:val="center"/>
          </w:tcPr>
          <w:p w14:paraId="4F927432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运行同步</w:t>
            </w:r>
          </w:p>
        </w:tc>
        <w:tc>
          <w:tcPr>
            <w:tcW w:w="4031" w:type="dxa"/>
            <w:vAlign w:val="center"/>
          </w:tcPr>
          <w:p w14:paraId="3A7C0996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按真实播报开始及累计播放时间驱动动作</w:t>
            </w:r>
          </w:p>
        </w:tc>
        <w:tc>
          <w:tcPr>
            <w:tcW w:w="3624" w:type="dxa"/>
            <w:vAlign w:val="center"/>
          </w:tcPr>
          <w:p w14:paraId="59F2A223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已覆盖生命周期同步，不等于逐词语义手势编排</w:t>
            </w:r>
          </w:p>
        </w:tc>
      </w:tr>
      <w:tr w14:paraId="0D58A4EA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415" w:type="dxa"/>
            <w:vAlign w:val="center"/>
          </w:tcPr>
          <w:p w14:paraId="557BA84F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回归保护</w:t>
            </w:r>
          </w:p>
        </w:tc>
        <w:tc>
          <w:tcPr>
            <w:tcW w:w="4031" w:type="dxa"/>
            <w:vAlign w:val="center"/>
          </w:tcPr>
          <w:p w14:paraId="56AFD7CC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前端行为测试、数据库与模型网关测试、四模型站姿检查</w:t>
            </w:r>
          </w:p>
        </w:tc>
        <w:tc>
          <w:tcPr>
            <w:tcW w:w="3624" w:type="dxa"/>
            <w:vAlign w:val="center"/>
          </w:tcPr>
          <w:p w14:paraId="0894659F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已有自动化验证基础，覆盖面仍需和真实环境区分</w:t>
            </w:r>
          </w:p>
        </w:tc>
      </w:tr>
    </w:tbl>
    <w:p w14:paraId="79BCDE68">
      <w:pPr>
        <w:pStyle w:val="3"/>
        <w:spacing w:before="120" w:after="0"/>
        <w:ind w:left="0" w:firstLine="0"/>
      </w:pPr>
      <w:bookmarkStart w:id="13" w:name="_DHHeading_5017"/>
      <w:r>
        <w:t>3.</w:t>
      </w:r>
      <w:r>
        <w:rPr>
          <w:rFonts w:hint="eastAsia"/>
          <w:lang w:val="en-US" w:eastAsia="zh-CN"/>
        </w:rPr>
        <w:t>1</w:t>
      </w:r>
      <w:r>
        <w:t xml:space="preserve">  调研成果</w:t>
      </w:r>
      <w:bookmarkEnd w:id="13"/>
      <w:r>
        <w:rPr>
          <w:rFonts w:hint="eastAsia"/>
          <w:lang w:val="en-US" w:eastAsia="zh-CN"/>
        </w:rPr>
        <w:t>简述</w:t>
      </w:r>
    </w:p>
    <w:p w14:paraId="4D3AFED9">
      <w:pPr>
        <w:ind w:right="0" w:firstLine="480"/>
      </w:pPr>
      <w:r>
        <w:t>本项目已具备三类成果载体：可演示的系统原型；有源码与修复提交支持的问题案例；可供复核的动作与测试记录。</w:t>
      </w:r>
    </w:p>
    <w:p w14:paraId="695CFB1A">
      <w:pPr>
        <w:keepNext/>
        <w:jc w:val="center"/>
        <w:rPr>
          <w:rFonts w:ascii="宋体" w:hAnsi="宋体" w:cs="宋体"/>
          <w:sz w:val="21"/>
          <w:szCs w:val="21"/>
        </w:rPr>
      </w:pPr>
    </w:p>
    <w:p w14:paraId="37515921">
      <w:pPr>
        <w:pStyle w:val="2"/>
        <w:ind w:left="0" w:firstLine="0"/>
        <w:outlineLvl w:val="0"/>
        <w:rPr>
          <w:rFonts w:eastAsia="宋体"/>
        </w:rPr>
      </w:pPr>
      <w:bookmarkStart w:id="14" w:name="_DHHeading_5018"/>
    </w:p>
    <w:p w14:paraId="7D343308">
      <w:pPr>
        <w:rPr>
          <w:rFonts w:eastAsia="宋体"/>
        </w:rPr>
      </w:pPr>
    </w:p>
    <w:p w14:paraId="5CCEBB5A">
      <w:pPr>
        <w:rPr>
          <w:rFonts w:eastAsia="宋体"/>
        </w:rPr>
      </w:pPr>
    </w:p>
    <w:p w14:paraId="132859D4">
      <w:pPr>
        <w:rPr>
          <w:rFonts w:eastAsia="宋体"/>
        </w:rPr>
      </w:pPr>
    </w:p>
    <w:p w14:paraId="4710CA56">
      <w:pPr>
        <w:rPr>
          <w:rFonts w:eastAsia="宋体"/>
        </w:rPr>
      </w:pPr>
    </w:p>
    <w:p w14:paraId="6D04C7FB">
      <w:pPr>
        <w:rPr>
          <w:rFonts w:eastAsia="宋体"/>
        </w:rPr>
      </w:pPr>
    </w:p>
    <w:p w14:paraId="78321395">
      <w:pPr>
        <w:pStyle w:val="2"/>
        <w:numPr>
          <w:ilvl w:val="0"/>
          <w:numId w:val="0"/>
        </w:numPr>
        <w:ind w:leftChars="0"/>
        <w:outlineLvl w:val="0"/>
        <w:rPr>
          <w:rFonts w:eastAsia="宋体"/>
        </w:rPr>
      </w:pPr>
      <w:r>
        <w:t>4  工程问题案例复盘</w:t>
      </w:r>
      <w:bookmarkEnd w:id="14"/>
    </w:p>
    <w:p w14:paraId="1FAA87A7">
      <w:pPr>
        <w:pStyle w:val="3"/>
        <w:spacing w:before="120" w:after="0"/>
        <w:ind w:left="0" w:firstLine="0"/>
      </w:pPr>
      <w:bookmarkStart w:id="15" w:name="_DHHeading_5020"/>
      <w:r>
        <w:t>4.</w:t>
      </w:r>
      <w:r>
        <w:rPr>
          <w:rFonts w:hint="eastAsia"/>
          <w:lang w:val="en-US" w:eastAsia="zh-CN"/>
        </w:rPr>
        <w:t>1</w:t>
      </w:r>
      <w:r>
        <w:t xml:space="preserve">  备用功能掩盖了完整能力缺项</w:t>
      </w:r>
      <w:bookmarkEnd w:id="15"/>
    </w:p>
    <w:p w14:paraId="59A06B81">
      <w:pPr>
        <w:ind w:right="0" w:firstLine="480"/>
      </w:pPr>
      <w:r>
        <w:t>系统能够播报，Rhubarb单独处理测试WAV也成功，但当时全局Python环境缺少PyAV，真实聊天因此没有口型时间轴，实际使用备用口型。</w:t>
      </w:r>
    </w:p>
    <w:p w14:paraId="4B4079A8">
      <w:pPr>
        <w:ind w:right="0" w:firstLine="480"/>
      </w:pPr>
      <w:r>
        <w:t>进一步的源码发现</w:t>
      </w:r>
      <w:r>
        <w:rPr>
          <w:rFonts w:hint="eastAsia"/>
          <w:lang w:eastAsia="zh-CN"/>
        </w:rPr>
        <w:t>：</w:t>
      </w:r>
      <w:r>
        <w:t>当前 tts_gateway.valid_audio() 在PyAV缺失时返回False；因此外部TTS即便返回数据，也不能通过这条校验路径，随后会尝试后续备用服务。PyAV在这里同时承担音频校验与口型分析链路中的解码角色。</w:t>
      </w:r>
    </w:p>
    <w:p w14:paraId="0CFAEE62">
      <w:pPr>
        <w:ind w:right="0" w:firstLine="480"/>
      </w:pPr>
      <w:r>
        <w:t>验证办法</w:t>
      </w:r>
      <w:r>
        <w:rPr>
          <w:rFonts w:hint="eastAsia"/>
          <w:lang w:eastAsia="zh-CN"/>
        </w:rPr>
        <w:t>：</w:t>
      </w:r>
      <w:r>
        <w:t xml:space="preserve"> 把</w:t>
      </w:r>
      <w:r>
        <w:rPr>
          <w:rFonts w:hint="eastAsia"/>
          <w:lang w:eastAsia="zh-CN"/>
        </w:rPr>
        <w:t>“</w:t>
      </w:r>
      <w:r>
        <w:t>有回复</w:t>
      </w:r>
      <w:r>
        <w:rPr>
          <w:rFonts w:hint="eastAsia"/>
          <w:lang w:eastAsia="zh-CN"/>
        </w:rPr>
        <w:t>”“</w:t>
      </w:r>
      <w:r>
        <w:t>有音频字节</w:t>
      </w:r>
      <w:r>
        <w:rPr>
          <w:rFonts w:hint="eastAsia"/>
          <w:lang w:eastAsia="zh-CN"/>
        </w:rPr>
        <w:t>”“</w:t>
      </w:r>
      <w:r>
        <w:t>能解码播放</w:t>
      </w:r>
      <w:r>
        <w:rPr>
          <w:rFonts w:hint="eastAsia"/>
          <w:lang w:eastAsia="zh-CN"/>
        </w:rPr>
        <w:t>”“</w:t>
      </w:r>
      <w:r>
        <w:t>有非空时间轴</w:t>
      </w:r>
      <w:r>
        <w:rPr>
          <w:rFonts w:hint="eastAsia"/>
          <w:lang w:eastAsia="zh-CN"/>
        </w:rPr>
        <w:t>”“</w:t>
      </w:r>
      <w:r>
        <w:t>嘴型质量合格</w:t>
      </w:r>
      <w:r>
        <w:rPr>
          <w:rFonts w:hint="eastAsia"/>
          <w:lang w:eastAsia="zh-CN"/>
        </w:rPr>
        <w:t>”</w:t>
      </w:r>
      <w:r>
        <w:t>分成五个检查项。对每项记录当前路径，不用一个绿色“在线”状态代表全部能力</w:t>
      </w:r>
      <w:r>
        <w:rPr>
          <w:rFonts w:hint="eastAsia"/>
          <w:lang w:eastAsia="zh-CN"/>
        </w:rPr>
        <w:t>；</w:t>
      </w:r>
      <w:r>
        <w:t>安装最小依赖后，还应单独验收可选TTS与Rhubarb链路。</w:t>
      </w:r>
    </w:p>
    <w:p w14:paraId="41C0E1A5">
      <w:pPr>
        <w:pStyle w:val="3"/>
        <w:spacing w:before="120" w:after="0"/>
        <w:ind w:left="0" w:firstLine="0"/>
      </w:pPr>
      <w:bookmarkStart w:id="16" w:name="_DHHeading_5024"/>
      <w:r>
        <w:t>4.</w:t>
      </w:r>
      <w:r>
        <w:rPr>
          <w:rFonts w:hint="eastAsia"/>
          <w:lang w:val="en-US" w:eastAsia="zh-CN"/>
        </w:rPr>
        <w:t>2</w:t>
      </w:r>
      <w:r>
        <w:t xml:space="preserve">  收到文字不代表声音已经开始</w:t>
      </w:r>
      <w:bookmarkEnd w:id="16"/>
    </w:p>
    <w:p w14:paraId="30B67BAE">
      <w:pPr>
        <w:ind w:right="0" w:firstLine="480"/>
      </w:pPr>
      <w:r>
        <w:t>文字回复、在线合成完成、浏览器解码以及扬声器实际播放之间存在等待。如果动作在拿到文字时立即开始，就可能出现先挥手后说话、讲解结束但语音仍在播放等错位。</w:t>
      </w:r>
    </w:p>
    <w:p w14:paraId="31CCAE8E">
      <w:pPr>
        <w:ind w:right="0" w:firstLine="480"/>
      </w:pPr>
      <w:r>
        <w:t>收到文字时预加载动作，等Web Audio真正开始或浏览器播报的 onstart 后启动；动作按照累计播报时间推进。分句等待期间平滑回到待机，长讲解可以循环10秒动作，结束、打断或切换人物时按约10帧过渡恢复。</w:t>
      </w:r>
    </w:p>
    <w:p w14:paraId="2E07AA3E">
      <w:pPr>
        <w:ind w:right="0" w:firstLine="480"/>
      </w:pPr>
      <w:r>
        <w:t>应以实际媒体播放时钟而非HTTP完成时间作为同步依据</w:t>
      </w:r>
      <w:r>
        <w:rPr>
          <w:rFonts w:hint="eastAsia"/>
          <w:lang w:eastAsia="zh-CN"/>
        </w:rPr>
        <w:t>。</w:t>
      </w:r>
      <w:r>
        <w:t>当前同步对象是开始、持续、等待和结束</w:t>
      </w:r>
      <w:r>
        <w:rPr>
          <w:rFonts w:hint="eastAsia"/>
          <w:lang w:eastAsia="zh-CN"/>
        </w:rPr>
        <w:t>。</w:t>
      </w:r>
      <w:r>
        <w:t>后续实验应分别测开始偏差、过程中漂移及打断恢复，不用一个总延迟概括三者。</w:t>
      </w:r>
    </w:p>
    <w:p w14:paraId="179BDDC4">
      <w:pPr>
        <w:pStyle w:val="3"/>
        <w:spacing w:before="120" w:after="0"/>
        <w:ind w:left="0" w:firstLine="0"/>
      </w:pPr>
      <w:bookmarkStart w:id="17" w:name="_DHHeading_5038"/>
      <w:r>
        <w:t>4.</w:t>
      </w:r>
      <w:r>
        <w:rPr>
          <w:rFonts w:hint="eastAsia"/>
          <w:lang w:val="en-US" w:eastAsia="zh-CN"/>
        </w:rPr>
        <w:t>3</w:t>
      </w:r>
      <w:r>
        <w:t xml:space="preserve">  让模型说得自然，不等于让模型决定业务</w:t>
      </w:r>
      <w:bookmarkEnd w:id="17"/>
    </w:p>
    <w:p w14:paraId="5CEEBFF7">
      <w:pPr>
        <w:ind w:right="0" w:firstLine="480"/>
      </w:pPr>
      <w:r>
        <w:t>正在进行的预约、预警流程优先由本地逻辑处理；问候、感谢、眨眼也保留固定规则。普通聊天可交给外部模型，模型不得修改 context、quick_replies 或执行真实操作，动作建议仅限受约束的范围。</w:t>
      </w:r>
    </w:p>
    <w:p w14:paraId="0732111A">
      <w:pPr>
        <w:pStyle w:val="4"/>
        <w:spacing w:before="120" w:after="0"/>
        <w:ind w:left="0" w:firstLine="0"/>
      </w:pPr>
      <w:bookmarkStart w:id="18" w:name="_DHHeading_5039"/>
      <w:r>
        <w:t>4.</w:t>
      </w:r>
      <w:r>
        <w:rPr>
          <w:rFonts w:hint="eastAsia"/>
          <w:lang w:val="en-US" w:eastAsia="zh-CN"/>
        </w:rPr>
        <w:t>3</w:t>
      </w:r>
      <w:r>
        <w:t>.1  已有进展</w:t>
      </w:r>
      <w:bookmarkEnd w:id="18"/>
    </w:p>
    <w:p w14:paraId="64D23199">
      <w:pPr>
        <w:ind w:right="0" w:firstLine="480"/>
      </w:pPr>
      <w:r>
        <w:t>模型网关支持两类协议，配置保留在服务端；没有配置、超时、上游错误、格式错误或不合规结果时回到规则回复。服务介绍只允许依据有限项目说明并返回资料标识。已有测试通过模拟HTTP检查接口、失败回退、业务优先和动作衔接。</w:t>
      </w:r>
    </w:p>
    <w:p w14:paraId="24B80877">
      <w:pPr>
        <w:pStyle w:val="4"/>
        <w:spacing w:before="120" w:after="0"/>
        <w:ind w:left="0" w:firstLine="0"/>
      </w:pPr>
      <w:bookmarkStart w:id="19" w:name="_DHHeading_5040"/>
      <w:r>
        <w:t>4.</w:t>
      </w:r>
      <w:r>
        <w:rPr>
          <w:rFonts w:hint="eastAsia"/>
          <w:lang w:val="en-US" w:eastAsia="zh-CN"/>
        </w:rPr>
        <w:t>3</w:t>
      </w:r>
      <w:r>
        <w:t>.2  尚不能声称解决的问题</w:t>
      </w:r>
      <w:bookmarkEnd w:id="19"/>
    </w:p>
    <w:p w14:paraId="333B3535">
      <w:pPr>
        <w:ind w:right="0" w:firstLine="480"/>
      </w:pPr>
      <w:r>
        <w:rPr>
          <w:rFonts w:hint="eastAsia"/>
          <w:lang w:val="en-US" w:eastAsia="zh-CN"/>
        </w:rPr>
        <w:t>并未</w:t>
      </w:r>
      <w:r>
        <w:rPr>
          <w:rFonts w:hint="eastAsia"/>
          <w:lang w:eastAsia="zh-CN"/>
        </w:rPr>
        <w:t>“</w:t>
      </w:r>
      <w:r>
        <w:t>消除幻觉</w:t>
      </w:r>
      <w:r>
        <w:rPr>
          <w:rFonts w:hint="eastAsia"/>
          <w:lang w:eastAsia="zh-CN"/>
        </w:rPr>
        <w:t>”：</w:t>
      </w:r>
      <w:r>
        <w:t>关键词过滤可能漏掉变体表达，资料标识校验也不证明句子中的每个事实正确。</w:t>
      </w:r>
    </w:p>
    <w:p w14:paraId="63CE358A">
      <w:pPr>
        <w:ind w:right="0" w:firstLine="480"/>
      </w:pPr>
      <w:r>
        <w:rPr>
          <w:rFonts w:hint="eastAsia"/>
          <w:lang w:val="en-US" w:eastAsia="zh-CN"/>
        </w:rPr>
        <w:t>并未</w:t>
      </w:r>
      <w:r>
        <w:rPr>
          <w:rFonts w:hint="eastAsia"/>
          <w:lang w:eastAsia="zh-CN"/>
        </w:rPr>
        <w:t>“</w:t>
      </w:r>
      <w:r>
        <w:t>拥有医疗知识库</w:t>
      </w:r>
      <w:r>
        <w:rPr>
          <w:rFonts w:hint="eastAsia"/>
          <w:lang w:eastAsia="zh-CN"/>
        </w:rPr>
        <w:t>”：</w:t>
      </w:r>
      <w:r>
        <w:t>当前说明明确尚未引入审核过的医疗知识库；健康关键词走规则也不意味着规则本身已接受临床质量验证。</w:t>
      </w:r>
    </w:p>
    <w:p w14:paraId="0FD6C9B2">
      <w:pPr>
        <w:ind w:right="0" w:firstLine="480"/>
      </w:pPr>
      <w:r>
        <w:t>不能把业务上下文当作模型记忆</w:t>
      </w:r>
      <w:r>
        <w:rPr>
          <w:rFonts w:hint="eastAsia"/>
          <w:lang w:eastAsia="zh-CN"/>
        </w:rPr>
        <w:t>：</w:t>
      </w:r>
      <w:r>
        <w:t xml:space="preserve"> 目前普通聊天为单轮调用，浏览器对话历史不会作为完整多轮历史发送给模型。</w:t>
      </w:r>
    </w:p>
    <w:p w14:paraId="285D4375">
      <w:pPr>
        <w:pStyle w:val="4"/>
        <w:spacing w:before="120" w:after="0"/>
        <w:ind w:left="0" w:firstLine="0"/>
      </w:pPr>
      <w:bookmarkStart w:id="20" w:name="_DHHeading_5041"/>
      <w:r>
        <w:t>4.</w:t>
      </w:r>
      <w:r>
        <w:rPr>
          <w:rFonts w:hint="eastAsia"/>
          <w:lang w:val="en-US" w:eastAsia="zh-CN"/>
        </w:rPr>
        <w:t>3</w:t>
      </w:r>
      <w:r>
        <w:t>.3  后续研究应如何开展</w:t>
      </w:r>
      <w:bookmarkEnd w:id="20"/>
    </w:p>
    <w:p w14:paraId="61A717DE">
      <w:pPr>
        <w:ind w:right="0" w:firstLine="480"/>
      </w:pPr>
      <w:r>
        <w:t>先建立非诊断场景的测试集：服务范围、科室地点说明、无法回答的问题、越权操作诱导、关键词变体和格式异常。分别记录误答、越权建议、错误资料引用与回退情况，不只记录</w:t>
      </w:r>
      <w:r>
        <w:rPr>
          <w:rFonts w:hint="eastAsia"/>
          <w:lang w:eastAsia="zh-CN"/>
        </w:rPr>
        <w:t>“</w:t>
      </w:r>
      <w:r>
        <w:t>接口调用成功</w:t>
      </w:r>
      <w:r>
        <w:rPr>
          <w:rFonts w:hint="eastAsia"/>
          <w:lang w:eastAsia="zh-CN"/>
        </w:rPr>
        <w:t>”</w:t>
      </w:r>
      <w:r>
        <w:t>。</w:t>
      </w:r>
    </w:p>
    <w:p w14:paraId="0B8BAF80">
      <w:pPr>
        <w:ind w:right="0" w:firstLine="480"/>
      </w:pPr>
      <w:r>
        <w:t>若后续研究知识库检索，应从经过授权和审核的非诊断服务说明开始，明确资料版本、更新时间和引用证据；模型只解释已验证的业务事实。新增真实健康内容和数据之前，需要有专业审核、知情说明及适当的数据治理，不能把现有演示直接用于医疗决策。</w:t>
      </w:r>
    </w:p>
    <w:p w14:paraId="1EDE5A64">
      <w:pPr>
        <w:ind w:right="0" w:firstLine="480"/>
      </w:pPr>
      <w:r>
        <w:t>普通聊天文本可能发送至配置的外部模型服务；本地数据库模式并不意味着所有输入都仅在本机处理。后续界面应清楚提示各条链路的数据去向，并默认使用虚构内容演示。</w:t>
      </w:r>
    </w:p>
    <w:p w14:paraId="41A1ED5E">
      <w:pPr>
        <w:ind w:right="0" w:firstLine="480"/>
      </w:pPr>
    </w:p>
    <w:p w14:paraId="2CEAF44B">
      <w:pPr>
        <w:ind w:right="0" w:firstLine="480"/>
        <w:sectPr>
          <w:pgSz w:w="11906" w:h="16838"/>
          <w:pgMar w:top="1985" w:right="1418" w:bottom="1418" w:left="1418" w:header="1418" w:footer="1134" w:gutter="0"/>
          <w:pgNumType w:fmt="decimal" w:start="1"/>
          <w:cols w:space="720" w:num="1"/>
          <w:formProt w:val="0"/>
          <w:docGrid w:linePitch="326" w:charSpace="-2049"/>
        </w:sectPr>
      </w:pPr>
    </w:p>
    <w:p w14:paraId="168AAEE1">
      <w:pPr>
        <w:pStyle w:val="2"/>
        <w:numPr>
          <w:ilvl w:val="0"/>
          <w:numId w:val="0"/>
        </w:numPr>
        <w:ind w:leftChars="0"/>
        <w:outlineLvl w:val="0"/>
        <w:rPr>
          <w:rFonts w:eastAsia="宋体"/>
        </w:rPr>
      </w:pPr>
      <w:bookmarkStart w:id="21" w:name="_DHHeading_5044"/>
      <w:r>
        <w:t>5  已有验证证据及其可信边界</w:t>
      </w:r>
      <w:bookmarkEnd w:id="21"/>
    </w:p>
    <w:p w14:paraId="6B981442">
      <w:pPr>
        <w:keepNext/>
        <w:ind w:right="0" w:firstLine="420"/>
        <w:jc w:val="center"/>
      </w:pPr>
      <w:r>
        <w:rPr>
          <w:sz w:val="21"/>
          <w:szCs w:val="21"/>
        </w:rPr>
        <w:t>表5.1.1  阶段验证记录与证据边界</w:t>
      </w:r>
    </w:p>
    <w:tbl>
      <w:tblPr>
        <w:tblStyle w:val="16"/>
        <w:tblW w:w="9070" w:type="dxa"/>
        <w:jc w:val="center"/>
        <w:tblBorders>
          <w:top w:val="single" w:color="000000" w:sz="8" w:space="0"/>
          <w:left w:val="none" w:color="000000" w:sz="0" w:space="0"/>
          <w:bottom w:val="single" w:color="000000" w:sz="8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</w:tblPr>
      <w:tblGrid>
        <w:gridCol w:w="1996"/>
        <w:gridCol w:w="3446"/>
        <w:gridCol w:w="3628"/>
      </w:tblGrid>
      <w:tr w14:paraId="592976C4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996" w:type="dxa"/>
            <w:tcBorders>
              <w:bottom w:val="single" w:color="000000" w:sz="6" w:space="0"/>
            </w:tcBorders>
            <w:vAlign w:val="center"/>
          </w:tcPr>
          <w:p w14:paraId="269D88A5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b/>
                <w:sz w:val="21"/>
                <w:szCs w:val="21"/>
              </w:rPr>
              <w:t>材料</w:t>
            </w:r>
            <w:r>
              <w:rPr>
                <w:rFonts w:hint="eastAsia"/>
                <w:b/>
                <w:sz w:val="21"/>
                <w:szCs w:val="21"/>
                <w:lang w:val="en-US" w:eastAsia="zh-CN"/>
              </w:rPr>
              <w:t>/</w:t>
            </w:r>
            <w:r>
              <w:rPr>
                <w:b/>
                <w:sz w:val="21"/>
                <w:szCs w:val="21"/>
              </w:rPr>
              <w:t>阶段</w:t>
            </w:r>
          </w:p>
        </w:tc>
        <w:tc>
          <w:tcPr>
            <w:tcW w:w="3446" w:type="dxa"/>
            <w:tcBorders>
              <w:bottom w:val="single" w:color="000000" w:sz="6" w:space="0"/>
            </w:tcBorders>
            <w:vAlign w:val="center"/>
          </w:tcPr>
          <w:p w14:paraId="4CD4EDCD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b/>
                <w:sz w:val="21"/>
                <w:szCs w:val="21"/>
              </w:rPr>
              <w:t>仓库记录的结果</w:t>
            </w:r>
          </w:p>
        </w:tc>
        <w:tc>
          <w:tcPr>
            <w:tcW w:w="3628" w:type="dxa"/>
            <w:tcBorders>
              <w:bottom w:val="single" w:color="000000" w:sz="6" w:space="0"/>
            </w:tcBorders>
            <w:vAlign w:val="center"/>
          </w:tcPr>
          <w:p w14:paraId="62B92774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b/>
                <w:sz w:val="21"/>
                <w:szCs w:val="21"/>
              </w:rPr>
              <w:t>必须保留的边界</w:t>
            </w:r>
          </w:p>
        </w:tc>
      </w:tr>
      <w:tr w14:paraId="3795B69C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996" w:type="dxa"/>
            <w:vAlign w:val="center"/>
          </w:tcPr>
          <w:p w14:paraId="0856E208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清理验证记录</w:t>
            </w:r>
          </w:p>
        </w:tc>
        <w:tc>
          <w:tcPr>
            <w:tcW w:w="3446" w:type="dxa"/>
            <w:vAlign w:val="center"/>
          </w:tcPr>
          <w:p w14:paraId="5615E641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单独Rhubarb测试成功</w:t>
            </w:r>
          </w:p>
        </w:tc>
        <w:tc>
          <w:tcPr>
            <w:tcW w:w="3628" w:type="dxa"/>
            <w:vAlign w:val="center"/>
          </w:tcPr>
          <w:p w14:paraId="6817F95B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该阶段环境缺PyAV，真实聊天无时间轴；不是当前HEAD全量结果</w:t>
            </w:r>
          </w:p>
        </w:tc>
      </w:tr>
      <w:tr w14:paraId="15A56239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996" w:type="dxa"/>
            <w:vAlign w:val="center"/>
          </w:tcPr>
          <w:p w14:paraId="7037EE3D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动作集成记录</w:t>
            </w:r>
          </w:p>
        </w:tc>
        <w:tc>
          <w:tcPr>
            <w:tcW w:w="3446" w:type="dxa"/>
            <w:vAlign w:val="center"/>
          </w:tcPr>
          <w:p w14:paraId="2E162357">
            <w:pPr>
              <w:spacing w:before="0" w:after="0" w:line="300" w:lineRule="auto"/>
              <w:ind w:left="0" w:right="0" w:firstLine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sz w:val="21"/>
                <w:szCs w:val="21"/>
              </w:rPr>
              <w:t>Python已通过；前端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已通过</w:t>
            </w:r>
          </w:p>
        </w:tc>
        <w:tc>
          <w:tcPr>
            <w:tcW w:w="3628" w:type="dxa"/>
            <w:vAlign w:val="center"/>
          </w:tcPr>
          <w:p w14:paraId="1C129B46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Python沿用此前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情况</w:t>
            </w:r>
            <w:r>
              <w:rPr>
                <w:sz w:val="21"/>
                <w:szCs w:val="21"/>
              </w:rPr>
              <w:t>检查；前端跳过原因是可选人物缺失；不能当作零缺项</w:t>
            </w:r>
          </w:p>
        </w:tc>
      </w:tr>
      <w:tr w14:paraId="2D6C15E4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996" w:type="dxa"/>
            <w:vAlign w:val="center"/>
          </w:tcPr>
          <w:p w14:paraId="34DB1A38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动作浏览器记录</w:t>
            </w:r>
          </w:p>
        </w:tc>
        <w:tc>
          <w:tcPr>
            <w:tcW w:w="3446" w:type="dxa"/>
            <w:vAlign w:val="center"/>
          </w:tcPr>
          <w:p w14:paraId="59063867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四个人物；实际Web Audio与合成WAV；12.2秒回复超过10秒动作；采样时钟差检查</w:t>
            </w:r>
          </w:p>
        </w:tc>
        <w:tc>
          <w:tcPr>
            <w:tcW w:w="3628" w:type="dxa"/>
            <w:vAlign w:val="center"/>
          </w:tcPr>
          <w:p w14:paraId="5604F632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非真实麦克风或在线TTS质量测试；150毫秒是相应抽查条件，不是全链路SLA</w:t>
            </w:r>
          </w:p>
        </w:tc>
      </w:tr>
      <w:tr w14:paraId="1CB1FBA9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996" w:type="dxa"/>
            <w:vAlign w:val="center"/>
          </w:tcPr>
          <w:p w14:paraId="2D219CC5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最新TTS修复提交</w:t>
            </w:r>
          </w:p>
        </w:tc>
        <w:tc>
          <w:tcPr>
            <w:tcW w:w="3446" w:type="dxa"/>
            <w:vAlign w:val="center"/>
          </w:tcPr>
          <w:p w14:paraId="2221AF68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新增迁移协议、未来端点保护与脱敏日志测试</w:t>
            </w:r>
          </w:p>
        </w:tc>
        <w:tc>
          <w:tcPr>
            <w:tcW w:w="3628" w:type="dxa"/>
            <w:vAlign w:val="center"/>
          </w:tcPr>
          <w:p w14:paraId="75080D31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代码中存在测试不等于本次已运行；上述旧汇总未证明本提交全部通过</w:t>
            </w:r>
          </w:p>
        </w:tc>
      </w:tr>
    </w:tbl>
    <w:p w14:paraId="70B07C7D">
      <w:pPr>
        <w:pStyle w:val="3"/>
        <w:spacing w:before="120" w:after="0"/>
        <w:ind w:left="0" w:firstLine="0"/>
      </w:pPr>
      <w:bookmarkStart w:id="22" w:name="_DHHeading_5047"/>
      <w:r>
        <w:t>5.</w:t>
      </w:r>
      <w:r>
        <w:rPr>
          <w:rFonts w:hint="eastAsia"/>
          <w:lang w:val="en-US" w:eastAsia="zh-CN"/>
        </w:rPr>
        <w:t>1</w:t>
      </w:r>
      <w:r>
        <w:t xml:space="preserve">  下一次报告应新增什么证据</w:t>
      </w:r>
      <w:bookmarkEnd w:id="22"/>
    </w:p>
    <w:p w14:paraId="0F539110">
      <w:pPr>
        <w:ind w:right="0" w:firstLine="480"/>
      </w:pPr>
      <w:r>
        <w:t>每次测试保存代码提交与资产哈希、解释器及依赖版本、浏览器和设备配置、运行命令、原始日志、失败与跳过原因。</w:t>
      </w:r>
    </w:p>
    <w:p w14:paraId="3EDA66BA">
      <w:pPr>
        <w:ind w:right="0" w:firstLine="480"/>
      </w:pPr>
      <w:r>
        <w:t>涉及人工观察时保留测试输入、视角、时间戳和录屏；涉及定量指标时保留逐次测量值，而不是只写一个平均值或“运行流畅”。</w:t>
      </w:r>
    </w:p>
    <w:p w14:paraId="78D074AC">
      <w:pPr>
        <w:ind w:right="0" w:firstLine="480"/>
      </w:pPr>
    </w:p>
    <w:p w14:paraId="12DB642E">
      <w:pPr>
        <w:ind w:right="0" w:firstLine="480"/>
        <w:sectPr>
          <w:pgSz w:w="11906" w:h="16838"/>
          <w:pgMar w:top="1985" w:right="1418" w:bottom="1418" w:left="1418" w:header="1418" w:footer="1134" w:gutter="0"/>
          <w:pgNumType w:fmt="decimal" w:start="1"/>
          <w:cols w:space="720" w:num="1"/>
          <w:formProt w:val="0"/>
          <w:docGrid w:linePitch="326" w:charSpace="-2049"/>
        </w:sectPr>
      </w:pPr>
    </w:p>
    <w:p w14:paraId="6910D82F">
      <w:pPr>
        <w:pStyle w:val="2"/>
        <w:numPr>
          <w:ilvl w:val="0"/>
          <w:numId w:val="0"/>
        </w:numPr>
        <w:ind w:leftChars="0"/>
        <w:outlineLvl w:val="0"/>
        <w:rPr>
          <w:rFonts w:hint="default" w:eastAsia="黑体"/>
          <w:lang w:val="en-US" w:eastAsia="zh-CN"/>
        </w:rPr>
      </w:pPr>
      <w:bookmarkStart w:id="23" w:name="_DHHeading_5048"/>
      <w:r>
        <w:t xml:space="preserve">6  </w:t>
      </w:r>
      <w:bookmarkEnd w:id="23"/>
      <w:r>
        <w:rPr>
          <w:rFonts w:hint="eastAsia"/>
          <w:lang w:val="en-US" w:eastAsia="zh-CN"/>
        </w:rPr>
        <w:t>后续研究缺项</w:t>
      </w:r>
    </w:p>
    <w:p w14:paraId="351C2B44">
      <w:pPr>
        <w:pStyle w:val="3"/>
        <w:spacing w:before="120" w:after="0"/>
        <w:ind w:left="0" w:firstLine="0"/>
      </w:pPr>
      <w:bookmarkStart w:id="24" w:name="_DHHeading_5049"/>
      <w:r>
        <w:t>6.1  当前缺项与影响</w:t>
      </w:r>
      <w:bookmarkEnd w:id="24"/>
    </w:p>
    <w:p w14:paraId="1DF6DFFE">
      <w:pPr>
        <w:keepNext/>
        <w:ind w:right="0" w:firstLine="420"/>
        <w:jc w:val="center"/>
      </w:pPr>
      <w:r>
        <w:rPr>
          <w:sz w:val="21"/>
          <w:szCs w:val="21"/>
        </w:rPr>
        <w:t>表6.1.1  后续研究缺项与优先级</w:t>
      </w:r>
    </w:p>
    <w:tbl>
      <w:tblPr>
        <w:tblStyle w:val="16"/>
        <w:tblW w:w="9070" w:type="dxa"/>
        <w:jc w:val="center"/>
        <w:tblBorders>
          <w:top w:val="single" w:color="000000" w:sz="8" w:space="0"/>
          <w:left w:val="none" w:color="000000" w:sz="0" w:space="0"/>
          <w:bottom w:val="single" w:color="000000" w:sz="8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</w:tblPr>
      <w:tblGrid>
        <w:gridCol w:w="900"/>
        <w:gridCol w:w="2087"/>
        <w:gridCol w:w="2721"/>
        <w:gridCol w:w="3362"/>
      </w:tblGrid>
      <w:tr w14:paraId="39C0763A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900" w:type="dxa"/>
            <w:tcBorders>
              <w:bottom w:val="single" w:color="000000" w:sz="6" w:space="0"/>
            </w:tcBorders>
            <w:vAlign w:val="center"/>
          </w:tcPr>
          <w:p w14:paraId="547872BD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b/>
                <w:sz w:val="21"/>
                <w:szCs w:val="21"/>
              </w:rPr>
              <w:t>优先级</w:t>
            </w:r>
          </w:p>
        </w:tc>
        <w:tc>
          <w:tcPr>
            <w:tcW w:w="2087" w:type="dxa"/>
            <w:tcBorders>
              <w:bottom w:val="single" w:color="000000" w:sz="6" w:space="0"/>
            </w:tcBorders>
            <w:vAlign w:val="center"/>
          </w:tcPr>
          <w:p w14:paraId="08AA6CFA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b/>
                <w:sz w:val="21"/>
                <w:szCs w:val="21"/>
              </w:rPr>
              <w:t>缺项</w:t>
            </w:r>
          </w:p>
        </w:tc>
        <w:tc>
          <w:tcPr>
            <w:tcW w:w="2721" w:type="dxa"/>
            <w:tcBorders>
              <w:bottom w:val="single" w:color="000000" w:sz="6" w:space="0"/>
            </w:tcBorders>
            <w:vAlign w:val="center"/>
          </w:tcPr>
          <w:p w14:paraId="6C148E9E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b/>
                <w:sz w:val="21"/>
                <w:szCs w:val="21"/>
              </w:rPr>
              <w:t>影响</w:t>
            </w:r>
          </w:p>
        </w:tc>
        <w:tc>
          <w:tcPr>
            <w:tcW w:w="3362" w:type="dxa"/>
            <w:tcBorders>
              <w:bottom w:val="single" w:color="000000" w:sz="6" w:space="0"/>
            </w:tcBorders>
            <w:vAlign w:val="center"/>
          </w:tcPr>
          <w:p w14:paraId="16311DC5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b/>
                <w:sz w:val="21"/>
                <w:szCs w:val="21"/>
              </w:rPr>
              <w:t>建议的完成证据</w:t>
            </w:r>
          </w:p>
        </w:tc>
      </w:tr>
      <w:tr w14:paraId="58289A6B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900" w:type="dxa"/>
            <w:vAlign w:val="center"/>
          </w:tcPr>
          <w:p w14:paraId="6C9A37E9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P0</w:t>
            </w:r>
          </w:p>
        </w:tc>
        <w:tc>
          <w:tcPr>
            <w:tcW w:w="2087" w:type="dxa"/>
            <w:vAlign w:val="center"/>
          </w:tcPr>
          <w:p w14:paraId="7F51392E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最新提交的统一环境复测</w:t>
            </w:r>
          </w:p>
        </w:tc>
        <w:tc>
          <w:tcPr>
            <w:tcW w:w="2721" w:type="dxa"/>
            <w:vAlign w:val="center"/>
          </w:tcPr>
          <w:p w14:paraId="5EE5DF3E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旧记录不能证明最后一次修复后仍全量通过</w:t>
            </w:r>
          </w:p>
        </w:tc>
        <w:tc>
          <w:tcPr>
            <w:tcW w:w="3362" w:type="dxa"/>
            <w:vAlign w:val="center"/>
          </w:tcPr>
          <w:p w14:paraId="23BCCA15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固定提交的完整日志、失败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/</w:t>
            </w:r>
            <w:r>
              <w:rPr>
                <w:sz w:val="21"/>
                <w:szCs w:val="21"/>
              </w:rPr>
              <w:t>跳过清单</w:t>
            </w:r>
          </w:p>
        </w:tc>
      </w:tr>
      <w:tr w14:paraId="659A24AD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900" w:type="dxa"/>
            <w:vAlign w:val="center"/>
          </w:tcPr>
          <w:p w14:paraId="7A0479CD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P0</w:t>
            </w:r>
          </w:p>
        </w:tc>
        <w:tc>
          <w:tcPr>
            <w:tcW w:w="2087" w:type="dxa"/>
            <w:vAlign w:val="center"/>
          </w:tcPr>
          <w:p w14:paraId="63D8D2EF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完整语音链路验收</w:t>
            </w:r>
          </w:p>
        </w:tc>
        <w:tc>
          <w:tcPr>
            <w:tcW w:w="2721" w:type="dxa"/>
            <w:vAlign w:val="center"/>
          </w:tcPr>
          <w:p w14:paraId="55003027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有字、有声、口型时间轴可能属于不同备用路径</w:t>
            </w:r>
          </w:p>
        </w:tc>
        <w:tc>
          <w:tcPr>
            <w:tcW w:w="3362" w:type="dxa"/>
            <w:vAlign w:val="center"/>
          </w:tcPr>
          <w:p w14:paraId="3D822DB5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真音频、解码结果、时间轴及当前provider记录</w:t>
            </w:r>
          </w:p>
        </w:tc>
      </w:tr>
      <w:tr w14:paraId="65CAFC9E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900" w:type="dxa"/>
            <w:vAlign w:val="center"/>
          </w:tcPr>
          <w:p w14:paraId="463CBC37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P0</w:t>
            </w:r>
          </w:p>
        </w:tc>
        <w:tc>
          <w:tcPr>
            <w:tcW w:w="2087" w:type="dxa"/>
            <w:vAlign w:val="center"/>
          </w:tcPr>
          <w:p w14:paraId="725CF54F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成果与资产版本对齐</w:t>
            </w:r>
          </w:p>
        </w:tc>
        <w:tc>
          <w:tcPr>
            <w:tcW w:w="2721" w:type="dxa"/>
            <w:vAlign w:val="center"/>
          </w:tcPr>
          <w:p w14:paraId="1ADFD97F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旧版</w:t>
            </w:r>
            <w:r>
              <w:rPr>
                <w:sz w:val="21"/>
                <w:szCs w:val="21"/>
              </w:rPr>
              <w:t>视频可能被误当作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新版</w:t>
            </w:r>
            <w:r>
              <w:rPr>
                <w:sz w:val="21"/>
                <w:szCs w:val="21"/>
              </w:rPr>
              <w:t>效果</w:t>
            </w:r>
          </w:p>
        </w:tc>
        <w:tc>
          <w:tcPr>
            <w:tcW w:w="3362" w:type="dxa"/>
            <w:vAlign w:val="center"/>
          </w:tcPr>
          <w:p w14:paraId="581FBC96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源资产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/</w:t>
            </w:r>
            <w:r>
              <w:rPr>
                <w:sz w:val="21"/>
                <w:szCs w:val="21"/>
              </w:rPr>
              <w:t>运行适配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/</w:t>
            </w:r>
            <w:r>
              <w:rPr>
                <w:sz w:val="21"/>
                <w:szCs w:val="21"/>
              </w:rPr>
              <w:t>录屏版本清单</w:t>
            </w:r>
          </w:p>
        </w:tc>
      </w:tr>
      <w:tr w14:paraId="02BED0D9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900" w:type="dxa"/>
            <w:vAlign w:val="center"/>
          </w:tcPr>
          <w:p w14:paraId="19C4CD03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P1</w:t>
            </w:r>
          </w:p>
        </w:tc>
        <w:tc>
          <w:tcPr>
            <w:tcW w:w="2087" w:type="dxa"/>
            <w:vAlign w:val="center"/>
          </w:tcPr>
          <w:p w14:paraId="460355B3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响应与帧时间基线</w:t>
            </w:r>
          </w:p>
        </w:tc>
        <w:tc>
          <w:tcPr>
            <w:tcW w:w="2721" w:type="dxa"/>
            <w:vAlign w:val="center"/>
          </w:tcPr>
          <w:p w14:paraId="5F08E401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未测评</w:t>
            </w:r>
            <w:r>
              <w:rPr>
                <w:sz w:val="21"/>
                <w:szCs w:val="21"/>
              </w:rPr>
              <w:t>瓶颈和优化收益</w:t>
            </w:r>
          </w:p>
        </w:tc>
        <w:tc>
          <w:tcPr>
            <w:tcW w:w="3362" w:type="dxa"/>
            <w:vAlign w:val="center"/>
          </w:tcPr>
          <w:p w14:paraId="0323566E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不同设备、网络下的逐次测量及分位数</w:t>
            </w:r>
          </w:p>
        </w:tc>
      </w:tr>
      <w:tr w14:paraId="0B6E5553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900" w:type="dxa"/>
            <w:vAlign w:val="center"/>
          </w:tcPr>
          <w:p w14:paraId="44E2381B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P1</w:t>
            </w:r>
          </w:p>
        </w:tc>
        <w:tc>
          <w:tcPr>
            <w:tcW w:w="2087" w:type="dxa"/>
            <w:vAlign w:val="center"/>
          </w:tcPr>
          <w:p w14:paraId="4C9F9118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跨模型和异常输入覆盖</w:t>
            </w:r>
          </w:p>
        </w:tc>
        <w:tc>
          <w:tcPr>
            <w:tcW w:w="2721" w:type="dxa"/>
            <w:vAlign w:val="center"/>
          </w:tcPr>
          <w:p w14:paraId="0640ED0C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模型结论不能外推到全部资源</w:t>
            </w:r>
          </w:p>
        </w:tc>
        <w:tc>
          <w:tcPr>
            <w:tcW w:w="3362" w:type="dxa"/>
            <w:vAlign w:val="center"/>
          </w:tcPr>
          <w:p w14:paraId="14D26166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新模型矩阵、缺骨骼与加载失败回归</w:t>
            </w:r>
          </w:p>
        </w:tc>
      </w:tr>
      <w:tr w14:paraId="0F0CA418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900" w:type="dxa"/>
            <w:vAlign w:val="center"/>
          </w:tcPr>
          <w:p w14:paraId="5CBD909E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P1</w:t>
            </w:r>
          </w:p>
        </w:tc>
        <w:tc>
          <w:tcPr>
            <w:tcW w:w="2087" w:type="dxa"/>
            <w:vAlign w:val="center"/>
          </w:tcPr>
          <w:p w14:paraId="19D007CE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真实MySQL与故障恢复检查</w:t>
            </w:r>
          </w:p>
        </w:tc>
        <w:tc>
          <w:tcPr>
            <w:tcW w:w="2721" w:type="dxa"/>
            <w:vAlign w:val="center"/>
          </w:tcPr>
          <w:p w14:paraId="5FD7E3D1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事务接口验证不代表实际并发可靠性</w:t>
            </w:r>
          </w:p>
        </w:tc>
        <w:tc>
          <w:tcPr>
            <w:tcW w:w="3362" w:type="dxa"/>
            <w:vAlign w:val="center"/>
          </w:tcPr>
          <w:p w14:paraId="5B3696C9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独立测试库并发、重试、回滚记录</w:t>
            </w:r>
          </w:p>
        </w:tc>
      </w:tr>
    </w:tbl>
    <w:p w14:paraId="5E936719">
      <w:pPr>
        <w:ind w:right="0" w:firstLine="480"/>
      </w:pPr>
      <w:r>
        <w:t>P0表示成果真实性与复现最应先补足的事项；P1表示有直接研究价值的改进</w:t>
      </w:r>
      <w:r>
        <w:rPr>
          <w:rFonts w:hint="eastAsia"/>
          <w:lang w:eastAsia="zh-CN"/>
        </w:rPr>
        <w:t>。</w:t>
      </w:r>
    </w:p>
    <w:p w14:paraId="3E29C141">
      <w:pPr>
        <w:pStyle w:val="3"/>
        <w:spacing w:before="120" w:after="0"/>
        <w:ind w:left="0" w:firstLine="0"/>
      </w:pPr>
      <w:bookmarkStart w:id="25" w:name="_DHHeading_5050"/>
      <w:r>
        <w:t xml:space="preserve">6.2  </w:t>
      </w:r>
      <w:r>
        <w:rPr>
          <w:rFonts w:hint="eastAsia"/>
          <w:lang w:val="en-US" w:eastAsia="zh-CN"/>
        </w:rPr>
        <w:t>可能存在的</w:t>
      </w:r>
      <w:r>
        <w:t>研究风险</w:t>
      </w:r>
      <w:bookmarkEnd w:id="25"/>
    </w:p>
    <w:p w14:paraId="3262A089">
      <w:pPr>
        <w:ind w:right="0" w:firstLine="480"/>
        <w:rPr>
          <w:rFonts w:hint="eastAsia"/>
          <w:lang w:eastAsia="zh-CN"/>
        </w:rPr>
      </w:pPr>
      <w:r>
        <w:t>服务端直接启动配置监听 0.0.0.0:8890，而项目说明没有真实用户认证体系</w:t>
      </w:r>
      <w:r>
        <w:rPr>
          <w:rFonts w:hint="eastAsia"/>
          <w:lang w:eastAsia="zh-CN"/>
        </w:rPr>
        <w:t>；</w:t>
      </w:r>
      <w:r>
        <w:t>真实部署前必须单独评估访问控制</w:t>
      </w:r>
      <w:r>
        <w:rPr>
          <w:rFonts w:hint="eastAsia"/>
          <w:lang w:eastAsia="zh-CN"/>
        </w:rPr>
        <w:t>。</w:t>
      </w:r>
    </w:p>
    <w:p w14:paraId="3F0B8864">
      <w:pPr>
        <w:ind w:right="0" w:firstLine="480"/>
      </w:pPr>
      <w:r>
        <w:t>医疗知识与安全边界仍需专业审核；模型的关键词与资料标识过滤不能覆盖所有表达。浏览器ASR与在线模</w:t>
      </w:r>
      <w:r>
        <w:rPr>
          <w:rFonts w:hint="eastAsia"/>
          <w:lang w:val="en-US" w:eastAsia="zh-CN"/>
        </w:rPr>
        <w:t>/</w:t>
      </w:r>
      <w:r>
        <w:t>TTS的输入去向也应分别说明，避免把某一模块本地运行概括为全系统离线或数据不出设备。</w:t>
      </w:r>
    </w:p>
    <w:p w14:paraId="0F004B9C">
      <w:pPr>
        <w:pStyle w:val="2"/>
        <w:numPr>
          <w:ilvl w:val="0"/>
          <w:numId w:val="0"/>
        </w:numPr>
        <w:ind w:leftChars="0"/>
        <w:outlineLvl w:val="0"/>
        <w:sectPr>
          <w:pgSz w:w="11906" w:h="16838"/>
          <w:pgMar w:top="1985" w:right="1418" w:bottom="1418" w:left="1418" w:header="1418" w:footer="1134" w:gutter="0"/>
          <w:pgNumType w:fmt="decimal" w:start="1"/>
          <w:cols w:space="720" w:num="1"/>
          <w:formProt w:val="0"/>
          <w:docGrid w:linePitch="326" w:charSpace="-2049"/>
        </w:sectPr>
      </w:pPr>
      <w:bookmarkStart w:id="26" w:name="_DHHeading_5052"/>
    </w:p>
    <w:p w14:paraId="67FC0711">
      <w:pPr>
        <w:pStyle w:val="2"/>
        <w:numPr>
          <w:ilvl w:val="0"/>
          <w:numId w:val="0"/>
        </w:numPr>
        <w:ind w:leftChars="0"/>
        <w:outlineLvl w:val="0"/>
        <w:rPr>
          <w:rFonts w:eastAsia="宋体"/>
        </w:rPr>
      </w:pPr>
      <w:r>
        <w:t>7  后续研究实验方案</w:t>
      </w:r>
      <w:bookmarkEnd w:id="26"/>
    </w:p>
    <w:p w14:paraId="207BA8A6">
      <w:pPr>
        <w:pStyle w:val="3"/>
        <w:spacing w:before="120" w:after="0"/>
        <w:ind w:left="0" w:firstLine="0"/>
      </w:pPr>
      <w:bookmarkStart w:id="27" w:name="_DHHeading_5053"/>
      <w:r>
        <w:t>7.1  分句策略与播报时钟是否改善交互等待</w:t>
      </w:r>
      <w:bookmarkEnd w:id="27"/>
    </w:p>
    <w:p w14:paraId="7C349B32">
      <w:pPr>
        <w:ind w:right="0" w:firstLine="480"/>
      </w:pPr>
      <w:r>
        <w:t>相比等待整段音频，文字先显与分句预取可能缩短首次反馈时间；以媒体时钟驱动动作可能减少动作提前。两项改动应分开对照，避免一次改多个变量。</w:t>
      </w:r>
    </w:p>
    <w:p w14:paraId="42DF3CC1">
      <w:pPr>
        <w:ind w:right="0" w:firstLine="480"/>
      </w:pPr>
      <w:r>
        <w:t>固定短、中、长三组非医疗文本，每组10句，在正常网络、受控延迟和故障注入条件下重复3轮。先使用固定音频隔离网络和发音差异，再单独验证真实TTS。记录输入提交、文字显示、首句实际开始、动作开始、结束与取消完成时间。</w:t>
      </w:r>
    </w:p>
    <w:p w14:paraId="55E946FD">
      <w:pPr>
        <w:ind w:right="0" w:firstLine="480"/>
      </w:pPr>
      <w:r>
        <w:t>首次文字延迟、首次可听延迟、动作起播偏差、播放中漂移、分句空隙、取消后残留播放时长；报告中位数与P95，同时报告失败率，不能把失败样本全部删除后只统计成功速度。</w:t>
      </w:r>
    </w:p>
    <w:p w14:paraId="6D66B08A">
      <w:pPr>
        <w:pStyle w:val="3"/>
        <w:spacing w:before="120" w:after="0"/>
        <w:ind w:left="0" w:firstLine="0"/>
      </w:pPr>
      <w:bookmarkStart w:id="28" w:name="_DHHeading_5054"/>
      <w:r>
        <w:t>7.2  中文口型的质量与开销权衡</w:t>
      </w:r>
      <w:bookmarkEnd w:id="28"/>
    </w:p>
    <w:p w14:paraId="133EBD30">
      <w:pPr>
        <w:ind w:right="0" w:firstLine="480"/>
      </w:pPr>
      <w:r>
        <w:rPr>
          <w:rFonts w:hint="eastAsia"/>
          <w:lang w:val="en-US" w:eastAsia="zh-CN"/>
        </w:rPr>
        <w:t>若</w:t>
      </w:r>
      <w:r>
        <w:t>时间轴</w:t>
      </w:r>
      <w:r>
        <w:rPr>
          <w:rFonts w:hint="eastAsia"/>
          <w:lang w:val="en-US" w:eastAsia="zh-CN"/>
        </w:rPr>
        <w:t>+</w:t>
      </w:r>
      <w:r>
        <w:t>能量在部分语句上可能比仅能量更自然，但会增加分析耗时；这一假设需要观察者评价及可检查的时间标注。</w:t>
      </w:r>
    </w:p>
    <w:p w14:paraId="4BFA217A">
      <w:pPr>
        <w:ind w:right="0" w:firstLine="480"/>
      </w:pPr>
      <w:r>
        <w:t>选取30条经过人工审核的中性中文句子，覆盖闭唇、圆唇、开口、停顿及不同语速。固定同一音频、人物与镜头，比较仅能量、Rhubarb时间轴</w:t>
      </w:r>
      <w:r>
        <w:rPr>
          <w:rFonts w:hint="eastAsia"/>
          <w:lang w:val="en-US" w:eastAsia="zh-CN"/>
        </w:rPr>
        <w:t>+</w:t>
      </w:r>
      <w:r>
        <w:t>能量、浏览器近似三种条件；第三种若无法固定同一音频，应单独报告这一混杂因素。</w:t>
      </w:r>
    </w:p>
    <w:p w14:paraId="45F65BEE">
      <w:pPr>
        <w:ind w:right="0" w:firstLine="480"/>
      </w:pPr>
      <w:r>
        <w:t>静音误张嘴比例、口型转换与标注时间偏差、分析耗时、盲评自然度和观察者一致性；保存音频、匿名评价表与三种条件录屏。没有足够标注依据时，只报告主观结果，不命名为“音素准确率”。</w:t>
      </w:r>
    </w:p>
    <w:p w14:paraId="7EB10506">
      <w:pPr>
        <w:pStyle w:val="3"/>
        <w:spacing w:before="120" w:after="0"/>
        <w:ind w:left="0" w:firstLine="0"/>
      </w:pPr>
      <w:bookmarkStart w:id="29" w:name="_DHHeading_5055"/>
      <w:r>
        <w:t xml:space="preserve">7.3  </w:t>
      </w:r>
      <w:r>
        <w:rPr>
          <w:rFonts w:hint="eastAsia"/>
          <w:lang w:val="en-US" w:eastAsia="zh-CN"/>
        </w:rPr>
        <w:t>动作</w:t>
      </w:r>
      <w:r>
        <w:t>适配能否推广到更多模型</w:t>
      </w:r>
      <w:bookmarkEnd w:id="29"/>
    </w:p>
    <w:p w14:paraId="718B8514">
      <w:pPr>
        <w:ind w:right="0" w:firstLine="480"/>
      </w:pPr>
      <w:r>
        <w:t>在授权允许的模型上，固定两个健康动作及采样时刻</w:t>
      </w:r>
      <w:r>
        <w:rPr>
          <w:rFonts w:hint="eastAsia"/>
          <w:lang w:eastAsia="zh-CN"/>
        </w:rPr>
        <w:t>；</w:t>
      </w:r>
      <w:r>
        <w:t>优先增加体型差异，而非仅增加外观相似人物。</w:t>
      </w:r>
    </w:p>
    <w:p w14:paraId="21199C65">
      <w:pPr>
        <w:pStyle w:val="3"/>
        <w:spacing w:before="120" w:after="0"/>
        <w:ind w:left="0" w:firstLine="0"/>
      </w:pPr>
      <w:bookmarkStart w:id="30" w:name="_DHHeading_5057"/>
      <w:r>
        <w:t>7.</w:t>
      </w:r>
      <w:r>
        <w:rPr>
          <w:rFonts w:hint="eastAsia"/>
          <w:lang w:val="en-US" w:eastAsia="zh-CN"/>
        </w:rPr>
        <w:t>4</w:t>
      </w:r>
      <w:r>
        <w:t xml:space="preserve">  降级机制是否在故障时仍可解释</w:t>
      </w:r>
      <w:bookmarkEnd w:id="30"/>
    </w:p>
    <w:p w14:paraId="46C7A095">
      <w:pPr>
        <w:ind w:right="0" w:firstLine="480"/>
      </w:pPr>
      <w:r>
        <w:t>在独立测试环境中分别模拟：拒绝麦克风、语音不支持、TTS 403</w:t>
      </w:r>
      <w:r>
        <w:rPr>
          <w:rFonts w:hint="eastAsia"/>
          <w:lang w:val="en-US" w:eastAsia="zh-CN"/>
        </w:rPr>
        <w:t>/</w:t>
      </w:r>
      <w:r>
        <w:t>超时、无PyAV、无Rhubarb、模型或场景404、模型网关异常、数据库不可用、旧请求延迟返回。</w:t>
      </w:r>
    </w:p>
    <w:p w14:paraId="17F85EC6">
      <w:pPr>
        <w:ind w:right="0" w:firstLine="480"/>
      </w:pPr>
      <w:r>
        <w:t>对每次故障记录</w:t>
      </w:r>
      <w:r>
        <w:rPr>
          <w:rFonts w:hint="eastAsia"/>
          <w:lang w:eastAsia="zh-CN"/>
        </w:rPr>
        <w:t>“</w:t>
      </w:r>
      <w:r>
        <w:t>用户还能做什么</w:t>
      </w:r>
      <w:r>
        <w:rPr>
          <w:rFonts w:hint="eastAsia"/>
          <w:lang w:eastAsia="zh-CN"/>
        </w:rPr>
        <w:t>”“</w:t>
      </w:r>
      <w:r>
        <w:t>系统说明了什么</w:t>
      </w:r>
      <w:r>
        <w:rPr>
          <w:rFonts w:hint="eastAsia"/>
          <w:lang w:eastAsia="zh-CN"/>
        </w:rPr>
        <w:t>”“</w:t>
      </w:r>
      <w:r>
        <w:t>实际走哪条备用路径</w:t>
      </w:r>
      <w:r>
        <w:rPr>
          <w:rFonts w:hint="eastAsia"/>
          <w:lang w:eastAsia="zh-CN"/>
        </w:rPr>
        <w:t>”“</w:t>
      </w:r>
      <w:r>
        <w:t>是否有残留音频或动作</w:t>
      </w:r>
      <w:r>
        <w:rPr>
          <w:rFonts w:hint="eastAsia"/>
          <w:lang w:eastAsia="zh-CN"/>
        </w:rPr>
        <w:t>”“</w:t>
      </w:r>
      <w:r>
        <w:t>能否继续新流程”。成功标准应同时包含可继续使用和没有错误成功承诺</w:t>
      </w:r>
      <w:r>
        <w:rPr>
          <w:rFonts w:hint="eastAsia"/>
          <w:lang w:eastAsia="zh-CN"/>
        </w:rPr>
        <w:t>；</w:t>
      </w:r>
      <w:r>
        <w:t>故障注入仅作用于测试环境，不对外部服务进行压力攻击。</w:t>
      </w:r>
    </w:p>
    <w:p w14:paraId="11E5D6EF">
      <w:pPr>
        <w:pStyle w:val="2"/>
        <w:ind w:left="0" w:firstLine="0"/>
        <w:outlineLvl w:val="0"/>
        <w:rPr>
          <w:rFonts w:eastAsia="宋体"/>
        </w:rPr>
      </w:pPr>
      <w:bookmarkStart w:id="31" w:name="_DHHeading_5068"/>
      <w:r>
        <w:rPr>
          <w:rFonts w:hint="eastAsia"/>
          <w:lang w:val="en-US" w:eastAsia="zh-CN"/>
        </w:rPr>
        <w:t>8</w:t>
      </w:r>
      <w:r>
        <w:t xml:space="preserve">  调查结论与成果定位</w:t>
      </w:r>
      <w:bookmarkEnd w:id="31"/>
    </w:p>
    <w:p w14:paraId="2D0CC123">
      <w:pPr>
        <w:ind w:right="0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t>RQ1：</w:t>
      </w:r>
      <w:r>
        <w:rPr>
          <w:rFonts w:hint="eastAsia"/>
        </w:rPr>
        <w:t>浏览器三维路线能否支撑可拆分、可维护的交互原型？</w:t>
      </w:r>
    </w:p>
    <w:p w14:paraId="1FFDEDEE">
      <w:pPr>
        <w:ind w:right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ab/>
      </w:r>
      <w:r>
        <w:t>当前Web三维路线具备可拆分原型的实现基础。 前端负责形象与交互，服务端负责规则、可选模型和语音，数据库以可选模式接入</w:t>
      </w:r>
      <w:r>
        <w:rPr>
          <w:rFonts w:hint="eastAsia"/>
          <w:lang w:eastAsia="zh-CN"/>
        </w:rPr>
        <w:t>；</w:t>
      </w:r>
      <w:r>
        <w:t>已有结构及回退设计支持继续开展模块级研究</w:t>
      </w:r>
      <w:r>
        <w:rPr>
          <w:rFonts w:hint="eastAsia"/>
          <w:lang w:eastAsia="zh-CN"/>
        </w:rPr>
        <w:t>。</w:t>
      </w:r>
    </w:p>
    <w:p w14:paraId="679A700C">
      <w:pPr>
        <w:ind w:right="0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t>RQ2：</w:t>
      </w:r>
      <w:r>
        <w:rPr>
          <w:rFonts w:hint="eastAsia"/>
        </w:rPr>
        <w:t>语音、口型与肢体动作怎样协同，失败时怎样恢复？</w:t>
      </w:r>
    </w:p>
    <w:p w14:paraId="012E9083">
      <w:pPr>
        <w:ind w:right="0"/>
      </w:pPr>
      <w:r>
        <w:rPr>
          <w:rFonts w:hint="eastAsia"/>
          <w:lang w:val="en-US" w:eastAsia="zh-CN"/>
        </w:rPr>
        <w:tab/>
      </w:r>
      <w:r>
        <w:t>同步应以实际媒体播放为中心，而不是以文字返回为中心。 项目已把肢体动作推进、等待与取消纳入播报生命周期，口型也区分时间轴与近似路径；下一步需要真实中文语音及多环境测量，不能把合成音频回归等同于完整语音质量验证。</w:t>
      </w:r>
    </w:p>
    <w:p w14:paraId="0A00AA4A">
      <w:pPr>
        <w:ind w:right="0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t>RQ3：</w:t>
      </w:r>
      <w:r>
        <w:rPr>
          <w:rFonts w:hint="eastAsia"/>
        </w:rPr>
        <w:t>同一动作跨模型使用时，什么因素影响姿态质量？</w:t>
      </w:r>
    </w:p>
    <w:p w14:paraId="1D633438">
      <w:pPr>
        <w:ind w:right="0"/>
      </w:pPr>
      <w:r>
        <w:rPr>
          <w:rFonts w:hint="eastAsia"/>
          <w:lang w:val="en-US" w:eastAsia="zh-CN"/>
        </w:rPr>
        <w:tab/>
      </w:r>
      <w:r>
        <w:t>跨模型兼容需要检查空间约束与实际骨架</w:t>
      </w:r>
      <w:r>
        <w:rPr>
          <w:rFonts w:hint="eastAsia"/>
          <w:lang w:eastAsia="zh-CN"/>
        </w:rPr>
        <w:t>；</w:t>
      </w:r>
      <w:r>
        <w:t>标准格式能够降低复用门槛，但仍需针对形态差异进行约束与回归。</w:t>
      </w:r>
    </w:p>
    <w:p w14:paraId="7171FD52">
      <w:pPr>
        <w:ind w:right="0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t>RQ4：</w:t>
      </w:r>
      <w:r>
        <w:rPr>
          <w:rFonts w:hint="eastAsia"/>
        </w:rPr>
        <w:t>普通聊天与需要确定性结果的业务如何分工？</w:t>
      </w:r>
    </w:p>
    <w:p w14:paraId="10096ED2">
      <w:pPr>
        <w:ind w:right="0"/>
      </w:pPr>
      <w:r>
        <w:rPr>
          <w:rFonts w:hint="eastAsia"/>
          <w:lang w:val="en-US" w:eastAsia="zh-CN"/>
        </w:rPr>
        <w:tab/>
      </w:r>
      <w:r>
        <w:t>模型生成与业务执行应保持分离。 预约成功必须来自数据库与规则确认，而不能来自模型话术</w:t>
      </w:r>
      <w:r>
        <w:rPr>
          <w:rFonts w:hint="eastAsia"/>
          <w:lang w:eastAsia="zh-CN"/>
        </w:rPr>
        <w:t>；</w:t>
      </w:r>
      <w:r>
        <w:t>事务、幂等和状态校验是不同层次的问题；当前设计已具备演示级约束，但真实多人业务仍缺身份、权限与生产运维条件。</w:t>
      </w:r>
    </w:p>
    <w:p w14:paraId="29ED49B8">
      <w:pPr>
        <w:ind w:right="0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t>RQ5：</w:t>
      </w:r>
      <w:r>
        <w:rPr>
          <w:rFonts w:hint="eastAsia"/>
        </w:rPr>
        <w:t>现有成果距离可复现验证及真实用户适用性还差什么？</w:t>
      </w:r>
    </w:p>
    <w:p w14:paraId="1F752D84">
      <w:pPr>
        <w:ind w:right="0"/>
      </w:pPr>
      <w:r>
        <w:rPr>
          <w:rFonts w:hint="eastAsia"/>
          <w:lang w:val="en-US" w:eastAsia="zh-CN"/>
        </w:rPr>
        <w:tab/>
      </w:r>
      <w:r>
        <w:t>最主要的下一阶段缺口是证据完整性与目标用户验证。 当前已有较丰富的工程记录，但最新版本复测、真实语音链路、低端设备、跨模型泛化、实体MySQL及适老化任务研究仍需继续建立证据。</w:t>
      </w:r>
    </w:p>
    <w:p w14:paraId="375E8674">
      <w:pPr>
        <w:pStyle w:val="3"/>
        <w:spacing w:before="120" w:after="0"/>
        <w:ind w:left="0" w:firstLine="0"/>
      </w:pPr>
      <w:bookmarkStart w:id="32" w:name="_DHHeading_5070"/>
      <w:r>
        <w:rPr>
          <w:rFonts w:hint="eastAsia"/>
          <w:lang w:val="en-US" w:eastAsia="zh-CN"/>
        </w:rPr>
        <w:t>8</w:t>
      </w:r>
      <w:r>
        <w:t>.</w:t>
      </w:r>
      <w:r>
        <w:rPr>
          <w:rFonts w:hint="eastAsia"/>
          <w:lang w:val="en-US" w:eastAsia="zh-CN"/>
        </w:rPr>
        <w:t>1</w:t>
      </w:r>
      <w:r>
        <w:t xml:space="preserve">  主要贡献</w:t>
      </w:r>
      <w:bookmarkEnd w:id="32"/>
    </w:p>
    <w:p w14:paraId="564E75D3">
      <w:pPr>
        <w:ind w:right="0" w:firstLine="480"/>
        <w:rPr>
          <w:rFonts w:hint="eastAsia" w:eastAsia="宋体"/>
          <w:lang w:val="en-US" w:eastAsia="zh-CN"/>
        </w:rPr>
      </w:pPr>
      <w:r>
        <w:t>构建了支持分层研究的数字人交互原型；总结了语音服务兼容、动作时钟、骨架重定向、业务一致性与资产版本管理的具体问题</w:t>
      </w:r>
      <w:r>
        <w:rPr>
          <w:rFonts w:hint="eastAsia"/>
          <w:lang w:eastAsia="zh-CN"/>
        </w:rPr>
        <w:t>。</w:t>
      </w:r>
    </w:p>
    <w:p w14:paraId="68F664F8">
      <w:pPr>
        <w:ind w:right="0" w:firstLine="480"/>
      </w:pPr>
      <w:r>
        <w:rPr>
          <w:rFonts w:hint="eastAsia"/>
          <w:lang w:val="en-US" w:eastAsia="zh-CN"/>
        </w:rPr>
        <w:t>本报告</w:t>
      </w:r>
      <w:r>
        <w:t>的价值不在于宣称系统已经完全成熟，而在于说明为什么会失败、修复改变了哪个机制、哪些证据支持当前结论、未来应怎样继续验证。代码、测试、资产记录、失败案例与本报告应共同构成成果物，而不是只提交一段理想状态的演示视频。</w:t>
      </w:r>
    </w:p>
    <w:p w14:paraId="4C142E2F">
      <w:pPr>
        <w:pStyle w:val="3"/>
        <w:spacing w:before="120" w:after="0"/>
        <w:ind w:left="0" w:firstLine="0"/>
      </w:pPr>
      <w:bookmarkStart w:id="33" w:name="_DHHeading_5071"/>
      <w:r>
        <w:rPr>
          <w:rFonts w:hint="eastAsia"/>
          <w:lang w:val="en-US" w:eastAsia="zh-CN"/>
        </w:rPr>
        <w:t>8</w:t>
      </w:r>
      <w:r>
        <w:t>.</w:t>
      </w:r>
      <w:r>
        <w:rPr>
          <w:rFonts w:hint="eastAsia"/>
          <w:lang w:val="en-US" w:eastAsia="zh-CN"/>
        </w:rPr>
        <w:t>2</w:t>
      </w:r>
      <w:r>
        <w:t xml:space="preserve">  总结</w:t>
      </w:r>
      <w:bookmarkEnd w:id="33"/>
    </w:p>
    <w:p w14:paraId="55F9E666">
      <w:pPr>
        <w:ind w:right="0" w:firstLine="480"/>
      </w:pPr>
      <w:r>
        <w:t>后续工作应围绕能复现、能测量、能解释、能安全退出逐步推进。在真实数据、实际用户和外部服务进入之前，持续保留虚构业务边界；在扩展功能之前，优先补齐最新基线和对照实验。</w:t>
      </w:r>
    </w:p>
    <w:sectPr>
      <w:pgSz w:w="11906" w:h="16838"/>
      <w:pgMar w:top="1985" w:right="1418" w:bottom="1418" w:left="1418" w:header="1418" w:footer="1134" w:gutter="0"/>
      <w:pgNumType w:fmt="decimal" w:start="1"/>
      <w:cols w:space="720" w:num="1"/>
      <w:formProt w:val="0"/>
      <w:docGrid w:linePitch="326" w:charSpace="-204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oto Serif CJK 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;仿宋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FCEC6">
    <w:pPr>
      <w:pStyle w:val="10"/>
      <w:spacing w:before="600" w:after="0"/>
      <w:jc w:val="center"/>
    </w:pPr>
    <w:r>
      <w:rPr>
        <w:rFonts w:ascii="宋体" w:hAnsi="宋体" w:cs="宋体"/>
      </w:rPr>
      <w:t xml:space="preserve">- </w:t>
    </w:r>
    <w:r>
      <w:rPr>
        <w:rFonts w:ascii="宋体" w:hAnsi="宋体" w:cs="宋体"/>
      </w:rPr>
      <w:fldChar w:fldCharType="begin"/>
    </w:r>
    <w:r>
      <w:rPr>
        <w:rFonts w:ascii="宋体" w:hAnsi="宋体" w:cs="宋体"/>
      </w:rPr>
      <w:instrText xml:space="preserve"> PAGE </w:instrText>
    </w:r>
    <w:r>
      <w:rPr>
        <w:rFonts w:ascii="宋体" w:hAnsi="宋体" w:cs="宋体"/>
      </w:rPr>
      <w:fldChar w:fldCharType="separate"/>
    </w:r>
    <w:r>
      <w:rPr>
        <w:rFonts w:ascii="宋体" w:hAnsi="宋体" w:cs="宋体"/>
      </w:rPr>
      <w:t>I</w:t>
    </w:r>
    <w:r>
      <w:rPr>
        <w:rFonts w:ascii="宋体" w:hAnsi="宋体" w:cs="宋体"/>
      </w:rPr>
      <w:fldChar w:fldCharType="end"/>
    </w:r>
    <w:r>
      <w:rPr>
        <w:rFonts w:ascii="宋体" w:hAnsi="宋体" w:cs="宋体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D4B832">
    <w:pPr>
      <w:pStyle w:val="10"/>
      <w:spacing w:before="600" w:after="0"/>
      <w:jc w:val="center"/>
    </w:pPr>
    <w:r>
      <w:rPr>
        <w:rStyle w:val="18"/>
      </w:rPr>
      <w:t>–</w:t>
    </w:r>
    <w:r>
      <w:fldChar w:fldCharType="begin"/>
    </w:r>
    <w:r>
      <w:instrText xml:space="preserve"> PAGE </w:instrText>
    </w:r>
    <w:r>
      <w:fldChar w:fldCharType="separate"/>
    </w:r>
    <w:r>
      <w:t>8</w:t>
    </w:r>
    <w:r>
      <w:fldChar w:fldCharType="end"/>
    </w:r>
    <w:r>
      <w:rPr>
        <w:rStyle w:val="18"/>
      </w:rPr>
      <w:t>–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6724F5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E8B08C">
    <w:pPr>
      <w:pStyle w:val="11"/>
      <w:pBdr>
        <w:bottom w:val="none" w:color="auto" w:sz="0" w:space="0"/>
      </w:pBdr>
      <w:spacing w:before="0" w:after="60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857B4">
    <w:pPr>
      <w:pStyle w:val="11"/>
      <w:spacing w:before="0" w:after="600"/>
    </w:pPr>
    <w:r>
      <w:rPr>
        <w:rFonts w:hint="eastAsia"/>
        <w:lang w:eastAsia="zh-CN"/>
      </w:rPr>
      <w:t>《</w:t>
    </w:r>
    <w:r>
      <w:t>数字人交互系统</w:t>
    </w:r>
    <w:r>
      <w:rPr>
        <w:rFonts w:hint="eastAsia"/>
        <w:lang w:eastAsia="zh-CN"/>
      </w:rPr>
      <w:t>》</w:t>
    </w:r>
    <w:r>
      <w:t>技术调查报告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543E0E"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05361D">
    <w:pPr>
      <w:pStyle w:val="11"/>
      <w:spacing w:before="0" w:after="600"/>
    </w:pPr>
    <w:r>
      <w:rPr>
        <w:rFonts w:hint="eastAsia"/>
        <w:lang w:eastAsia="zh-CN"/>
      </w:rPr>
      <w:t>《</w:t>
    </w:r>
    <w:r>
      <w:t>数字人交互系统</w:t>
    </w:r>
    <w:r>
      <w:rPr>
        <w:rFonts w:hint="eastAsia"/>
        <w:lang w:eastAsia="zh-CN"/>
      </w:rPr>
      <w:t>》</w:t>
    </w:r>
    <w:r>
      <w:t>技术调查报告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DEB13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pStyle w:val="4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pStyle w:val="5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autoHyphenation/>
  <w:hyphenationZone w:val="0"/>
  <w:footnotePr>
    <w:footnote w:id="0"/>
    <w:footnote w:id="1"/>
  </w:footnotePr>
  <w:endnotePr>
    <w:endnote w:id="0"/>
    <w:endnote w:id="1"/>
  </w:endnotePr>
  <w:compat>
    <w:ulTrailSpace/>
    <w:doNotExpandShiftReturn/>
    <w:doNotBreakWrappedTables/>
    <w:useFELayout/>
    <w:compatSetting w:name="compatibilityMode" w:uri="http://schemas.microsoft.com/office/word" w:val="11"/>
  </w:compat>
  <w:rsids>
    <w:rsidRoot w:val="00000000"/>
    <w:rsid w:val="071F2612"/>
    <w:rsid w:val="08AA60D3"/>
    <w:rsid w:val="08E41D65"/>
    <w:rsid w:val="0D6D5FF2"/>
    <w:rsid w:val="0ED71A24"/>
    <w:rsid w:val="0EEE56EB"/>
    <w:rsid w:val="148D32B1"/>
    <w:rsid w:val="21FA7AAB"/>
    <w:rsid w:val="22A52EFA"/>
    <w:rsid w:val="280E2503"/>
    <w:rsid w:val="30FA7AC8"/>
    <w:rsid w:val="341D7D55"/>
    <w:rsid w:val="34D67F04"/>
    <w:rsid w:val="3982065B"/>
    <w:rsid w:val="3E29379B"/>
    <w:rsid w:val="464078D3"/>
    <w:rsid w:val="46FA4411"/>
    <w:rsid w:val="471A6376"/>
    <w:rsid w:val="478973D8"/>
    <w:rsid w:val="4B3C2D5F"/>
    <w:rsid w:val="4C465518"/>
    <w:rsid w:val="54056B7B"/>
    <w:rsid w:val="548D0188"/>
    <w:rsid w:val="552D1A7A"/>
    <w:rsid w:val="5AF0321E"/>
    <w:rsid w:val="5CFB644E"/>
    <w:rsid w:val="5E341D32"/>
    <w:rsid w:val="61D4389A"/>
    <w:rsid w:val="620852F1"/>
    <w:rsid w:val="63072F03"/>
    <w:rsid w:val="66974E96"/>
    <w:rsid w:val="6A9F07BD"/>
    <w:rsid w:val="6E7D0E15"/>
    <w:rsid w:val="709D579F"/>
    <w:rsid w:val="73D92078"/>
    <w:rsid w:val="76982C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Lohit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tabs>
        <w:tab w:val="left" w:pos="377"/>
      </w:tabs>
      <w:suppressAutoHyphens/>
      <w:bidi w:val="0"/>
      <w:spacing w:line="300" w:lineRule="auto"/>
      <w:jc w:val="both"/>
    </w:pPr>
    <w:rPr>
      <w:rFonts w:ascii="Times New Roman" w:hAnsi="Times New Roman" w:eastAsia="宋体" w:cs="Times New Roman"/>
      <w:color w:val="auto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0" w:after="220" w:line="360" w:lineRule="auto"/>
      <w:outlineLvl w:val="0"/>
    </w:pPr>
    <w:rPr>
      <w:rFonts w:ascii="黑体" w:hAnsi="黑体" w:eastAsia="黑体"/>
      <w:bCs/>
      <w:kern w:val="2"/>
      <w:sz w:val="30"/>
      <w:szCs w:val="30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50" w:after="0" w:line="360" w:lineRule="auto"/>
      <w:outlineLvl w:val="1"/>
    </w:pPr>
    <w:rPr>
      <w:rFonts w:ascii="黑体" w:hAnsi="黑体" w:eastAsia="黑体"/>
      <w:bCs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50" w:after="0" w:line="360" w:lineRule="auto"/>
      <w:outlineLvl w:val="2"/>
    </w:pPr>
    <w:rPr>
      <w:rFonts w:ascii="黑体" w:hAnsi="黑体" w:eastAsia="黑体"/>
      <w:bCs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40" w:after="240" w:line="360" w:lineRule="auto"/>
      <w:outlineLvl w:val="3"/>
    </w:pPr>
    <w:rPr>
      <w:bCs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qFormat/>
    <w:uiPriority w:val="0"/>
    <w:pPr>
      <w:widowControl w:val="0"/>
      <w:tabs>
        <w:tab w:val="clear" w:pos="377"/>
      </w:tabs>
      <w:spacing w:line="240" w:lineRule="auto"/>
      <w:ind w:left="2520" w:right="0" w:firstLine="0"/>
    </w:pPr>
    <w:rPr>
      <w:kern w:val="2"/>
      <w:sz w:val="21"/>
    </w:r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8">
    <w:name w:val="Body Text"/>
    <w:basedOn w:val="1"/>
    <w:uiPriority w:val="0"/>
    <w:pPr>
      <w:spacing w:before="0" w:after="140" w:line="276" w:lineRule="auto"/>
    </w:pPr>
  </w:style>
  <w:style w:type="paragraph" w:styleId="9">
    <w:name w:val="toc 3"/>
    <w:basedOn w:val="1"/>
    <w:next w:val="1"/>
    <w:qFormat/>
    <w:uiPriority w:val="0"/>
    <w:pPr>
      <w:tabs>
        <w:tab w:val="clear" w:pos="377"/>
      </w:tabs>
      <w:ind w:left="840" w:right="0" w:firstLine="0"/>
    </w:p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pacing w:before="600" w:after="0" w:line="180" w:lineRule="atLeast"/>
      <w:jc w:val="left"/>
    </w:pPr>
    <w:rPr>
      <w:sz w:val="18"/>
      <w:szCs w:val="18"/>
    </w:rPr>
  </w:style>
  <w:style w:type="paragraph" w:styleId="11">
    <w:name w:val="header"/>
    <w:basedOn w:val="1"/>
    <w:uiPriority w:val="0"/>
    <w:pPr>
      <w:keepLines/>
      <w:widowControl/>
      <w:pBdr>
        <w:bottom w:val="single" w:color="000000" w:sz="6" w:space="1"/>
      </w:pBdr>
      <w:tabs>
        <w:tab w:val="center" w:pos="4153"/>
        <w:tab w:val="right" w:pos="8306"/>
      </w:tabs>
      <w:snapToGrid w:val="0"/>
      <w:spacing w:before="0" w:after="600" w:line="180" w:lineRule="atLeast"/>
      <w:jc w:val="center"/>
    </w:pPr>
    <w:rPr>
      <w:spacing w:val="-5"/>
      <w:kern w:val="0"/>
      <w:sz w:val="21"/>
      <w:szCs w:val="21"/>
    </w:rPr>
  </w:style>
  <w:style w:type="paragraph" w:styleId="12">
    <w:name w:val="toc 1"/>
    <w:basedOn w:val="1"/>
    <w:next w:val="1"/>
    <w:uiPriority w:val="0"/>
    <w:pPr>
      <w:tabs>
        <w:tab w:val="clear" w:pos="377"/>
      </w:tabs>
    </w:pPr>
  </w:style>
  <w:style w:type="paragraph" w:styleId="13">
    <w:name w:val="List"/>
    <w:basedOn w:val="8"/>
    <w:uiPriority w:val="0"/>
    <w:rPr>
      <w:rFonts w:cs="Lohit Devanagari"/>
    </w:rPr>
  </w:style>
  <w:style w:type="paragraph" w:styleId="14">
    <w:name w:val="toc 6"/>
    <w:basedOn w:val="1"/>
    <w:next w:val="1"/>
    <w:qFormat/>
    <w:uiPriority w:val="0"/>
    <w:pPr>
      <w:widowControl w:val="0"/>
      <w:tabs>
        <w:tab w:val="clear" w:pos="377"/>
      </w:tabs>
      <w:spacing w:line="240" w:lineRule="auto"/>
      <w:ind w:left="2100" w:right="0" w:firstLine="0"/>
    </w:pPr>
    <w:rPr>
      <w:kern w:val="2"/>
      <w:sz w:val="21"/>
    </w:rPr>
  </w:style>
  <w:style w:type="paragraph" w:styleId="15">
    <w:name w:val="toc 2"/>
    <w:basedOn w:val="1"/>
    <w:next w:val="1"/>
    <w:uiPriority w:val="0"/>
    <w:pPr>
      <w:tabs>
        <w:tab w:val="clear" w:pos="377"/>
      </w:tabs>
      <w:ind w:left="420" w:right="0" w:firstLine="0"/>
    </w:pPr>
  </w:style>
  <w:style w:type="character" w:styleId="18">
    <w:name w:val="page number"/>
    <w:basedOn w:val="19"/>
    <w:uiPriority w:val="0"/>
  </w:style>
  <w:style w:type="character" w:customStyle="1" w:styleId="19">
    <w:name w:val="默认段落字体1"/>
    <w:qFormat/>
    <w:uiPriority w:val="0"/>
  </w:style>
  <w:style w:type="character" w:styleId="20">
    <w:name w:val="Hyperlink"/>
    <w:uiPriority w:val="0"/>
    <w:rPr>
      <w:color w:val="0000FF"/>
      <w:u w:val="single"/>
    </w:rPr>
  </w:style>
  <w:style w:type="character" w:customStyle="1" w:styleId="21">
    <w:name w:val="日期 字符"/>
    <w:qFormat/>
    <w:uiPriority w:val="0"/>
    <w:rPr>
      <w:sz w:val="24"/>
      <w:szCs w:val="24"/>
    </w:rPr>
  </w:style>
  <w:style w:type="character" w:customStyle="1" w:styleId="22">
    <w:name w:val="页眉 字符"/>
    <w:qFormat/>
    <w:uiPriority w:val="0"/>
    <w:rPr>
      <w:spacing w:val="-5"/>
      <w:sz w:val="21"/>
      <w:szCs w:val="21"/>
    </w:rPr>
  </w:style>
  <w:style w:type="character" w:customStyle="1" w:styleId="23">
    <w:name w:val="标题 字符"/>
    <w:qFormat/>
    <w:uiPriority w:val="0"/>
    <w:rPr>
      <w:rFonts w:ascii="等线 Light" w:hAnsi="等线 Light" w:cs="Times New Roman"/>
      <w:b/>
      <w:bCs/>
      <w:sz w:val="32"/>
      <w:szCs w:val="32"/>
    </w:rPr>
  </w:style>
  <w:style w:type="character" w:customStyle="1" w:styleId="24">
    <w:name w:val="关键词题头 Char"/>
    <w:qFormat/>
    <w:uiPriority w:val="0"/>
    <w:rPr>
      <w:rFonts w:ascii="黑体" w:hAnsi="黑体" w:eastAsia="黑体"/>
      <w:sz w:val="24"/>
      <w:szCs w:val="24"/>
      <w:lang w:bidi="en-US"/>
    </w:rPr>
  </w:style>
  <w:style w:type="character" w:customStyle="1" w:styleId="25">
    <w:name w:val="图名中文 Char"/>
    <w:qFormat/>
    <w:uiPriority w:val="0"/>
    <w:rPr>
      <w:rFonts w:ascii="宋体" w:hAnsi="宋体" w:eastAsia="宋体" w:cs="宋体"/>
      <w:sz w:val="21"/>
      <w:szCs w:val="21"/>
      <w:lang w:val="en-US" w:eastAsia="en-US" w:bidi="en-US"/>
    </w:rPr>
  </w:style>
  <w:style w:type="character" w:customStyle="1" w:styleId="26">
    <w:name w:val="英文关键词 Char"/>
    <w:qFormat/>
    <w:uiPriority w:val="0"/>
    <w:rPr>
      <w:rFonts w:ascii="Calibri" w:hAnsi="Calibri" w:eastAsia="宋体" w:cs="Calibri"/>
      <w:sz w:val="24"/>
      <w:szCs w:val="24"/>
      <w:lang w:eastAsia="en-US" w:bidi="en-US"/>
    </w:rPr>
  </w:style>
  <w:style w:type="character" w:customStyle="1" w:styleId="27">
    <w:name w:val="参考文献正文 Char"/>
    <w:qFormat/>
    <w:uiPriority w:val="0"/>
    <w:rPr>
      <w:rFonts w:ascii="宋体" w:hAnsi="宋体" w:eastAsia="宋体" w:cs="宋体"/>
      <w:sz w:val="21"/>
      <w:szCs w:val="21"/>
      <w:lang w:val="en-US" w:eastAsia="zh-CN" w:bidi="en-US"/>
    </w:rPr>
  </w:style>
  <w:style w:type="character" w:customStyle="1" w:styleId="28">
    <w:name w:val="关键词 Char"/>
    <w:qFormat/>
    <w:uiPriority w:val="0"/>
    <w:rPr>
      <w:rFonts w:ascii="仿宋_GB2312;仿宋" w:hAnsi="仿宋_GB2312;仿宋" w:eastAsia="仿宋_GB2312;仿宋"/>
      <w:sz w:val="24"/>
      <w:szCs w:val="24"/>
      <w:lang w:bidi="en-US"/>
    </w:rPr>
  </w:style>
  <w:style w:type="character" w:customStyle="1" w:styleId="29">
    <w:name w:val="正文1 Char"/>
    <w:qFormat/>
    <w:uiPriority w:val="0"/>
    <w:rPr>
      <w:rFonts w:eastAsia="宋体"/>
      <w:sz w:val="24"/>
      <w:lang w:val="en-US" w:eastAsia="en-US" w:bidi="en-US"/>
    </w:rPr>
  </w:style>
  <w:style w:type="character" w:customStyle="1" w:styleId="30">
    <w:name w:val="图名英文 Char"/>
    <w:qFormat/>
    <w:uiPriority w:val="0"/>
    <w:rPr>
      <w:rFonts w:eastAsia="宋体"/>
      <w:sz w:val="21"/>
      <w:szCs w:val="21"/>
      <w:lang w:val="en-US" w:eastAsia="en-US" w:bidi="en-US"/>
    </w:rPr>
  </w:style>
  <w:style w:type="character" w:customStyle="1" w:styleId="31">
    <w:name w:val="未处理的提及"/>
    <w:qFormat/>
    <w:uiPriority w:val="0"/>
    <w:rPr>
      <w:color w:val="605E5C"/>
      <w:shd w:val="clear" w:fill="E1DFDD"/>
    </w:rPr>
  </w:style>
  <w:style w:type="character" w:customStyle="1" w:styleId="32">
    <w:name w:val="hljs-comment"/>
    <w:basedOn w:val="19"/>
    <w:qFormat/>
    <w:uiPriority w:val="0"/>
  </w:style>
  <w:style w:type="character" w:customStyle="1" w:styleId="33">
    <w:name w:val="hljs-keyword"/>
    <w:basedOn w:val="19"/>
    <w:qFormat/>
    <w:uiPriority w:val="0"/>
  </w:style>
  <w:style w:type="character" w:customStyle="1" w:styleId="34">
    <w:name w:val="hljs-string"/>
    <w:basedOn w:val="19"/>
    <w:qFormat/>
    <w:uiPriority w:val="0"/>
  </w:style>
  <w:style w:type="character" w:customStyle="1" w:styleId="35">
    <w:name w:val="hljs-number"/>
    <w:basedOn w:val="19"/>
    <w:qFormat/>
    <w:uiPriority w:val="0"/>
  </w:style>
  <w:style w:type="character" w:customStyle="1" w:styleId="36">
    <w:name w:val="hljs-function"/>
    <w:basedOn w:val="19"/>
    <w:qFormat/>
    <w:uiPriority w:val="0"/>
  </w:style>
  <w:style w:type="character" w:customStyle="1" w:styleId="37">
    <w:name w:val="hljs-title"/>
    <w:basedOn w:val="19"/>
    <w:qFormat/>
    <w:uiPriority w:val="0"/>
  </w:style>
  <w:style w:type="character" w:customStyle="1" w:styleId="38">
    <w:name w:val="hljs-params"/>
    <w:basedOn w:val="19"/>
    <w:qFormat/>
    <w:uiPriority w:val="0"/>
  </w:style>
  <w:style w:type="character" w:customStyle="1" w:styleId="39">
    <w:name w:val="hljs-attr"/>
    <w:basedOn w:val="19"/>
    <w:qFormat/>
    <w:uiPriority w:val="0"/>
  </w:style>
  <w:style w:type="character" w:customStyle="1" w:styleId="40">
    <w:name w:val="Index Link"/>
    <w:qFormat/>
    <w:uiPriority w:val="0"/>
  </w:style>
  <w:style w:type="paragraph" w:customStyle="1" w:styleId="41">
    <w:name w:val="Heading"/>
    <w:basedOn w:val="1"/>
    <w:next w:val="1"/>
    <w:qFormat/>
    <w:uiPriority w:val="0"/>
    <w:pPr>
      <w:spacing w:before="240" w:after="60"/>
      <w:jc w:val="center"/>
      <w:outlineLvl w:val="0"/>
    </w:pPr>
    <w:rPr>
      <w:rFonts w:ascii="等线 Light" w:hAnsi="等线 Light" w:cs="Times New Roman"/>
      <w:b/>
      <w:bCs/>
      <w:sz w:val="32"/>
      <w:szCs w:val="32"/>
    </w:rPr>
  </w:style>
  <w:style w:type="paragraph" w:customStyle="1" w:styleId="42">
    <w:name w:val="Index"/>
    <w:basedOn w:val="1"/>
    <w:qFormat/>
    <w:uiPriority w:val="0"/>
    <w:pPr>
      <w:suppressLineNumbers/>
    </w:pPr>
    <w:rPr>
      <w:rFonts w:cs="Lohit Devanagari"/>
    </w:rPr>
  </w:style>
  <w:style w:type="paragraph" w:customStyle="1" w:styleId="43">
    <w:name w:val="日期1"/>
    <w:basedOn w:val="1"/>
    <w:next w:val="1"/>
    <w:qFormat/>
    <w:uiPriority w:val="0"/>
    <w:pPr>
      <w:ind w:left="100" w:right="0" w:firstLine="0"/>
    </w:pPr>
  </w:style>
  <w:style w:type="paragraph" w:customStyle="1" w:styleId="44">
    <w:name w:val="批注框文本1"/>
    <w:basedOn w:val="1"/>
    <w:qFormat/>
    <w:uiPriority w:val="0"/>
    <w:rPr>
      <w:sz w:val="18"/>
      <w:szCs w:val="18"/>
    </w:rPr>
  </w:style>
  <w:style w:type="paragraph" w:customStyle="1" w:styleId="45">
    <w:name w:val="Header and Footer"/>
    <w:basedOn w:val="1"/>
    <w:qFormat/>
    <w:uiPriority w:val="0"/>
    <w:pPr>
      <w:suppressLineNumbers/>
      <w:tabs>
        <w:tab w:val="center" w:pos="4819"/>
        <w:tab w:val="right" w:pos="9638"/>
        <w:tab w:val="clear" w:pos="377"/>
      </w:tabs>
    </w:pPr>
  </w:style>
  <w:style w:type="paragraph" w:customStyle="1" w:styleId="46">
    <w:name w:val="图名中文"/>
    <w:basedOn w:val="1"/>
    <w:qFormat/>
    <w:uiPriority w:val="0"/>
    <w:pPr>
      <w:tabs>
        <w:tab w:val="clear" w:pos="377"/>
      </w:tabs>
      <w:snapToGrid w:val="0"/>
      <w:ind w:left="0" w:right="0" w:firstLine="480"/>
      <w:jc w:val="center"/>
    </w:pPr>
    <w:rPr>
      <w:rFonts w:ascii="宋体" w:hAnsi="宋体" w:cs="宋体"/>
      <w:sz w:val="21"/>
      <w:szCs w:val="21"/>
      <w:lang w:eastAsia="en-US" w:bidi="en-US"/>
    </w:rPr>
  </w:style>
  <w:style w:type="paragraph" w:customStyle="1" w:styleId="47">
    <w:name w:val="参考文献正文"/>
    <w:basedOn w:val="1"/>
    <w:qFormat/>
    <w:uiPriority w:val="0"/>
    <w:pPr>
      <w:tabs>
        <w:tab w:val="clear" w:pos="377"/>
      </w:tabs>
      <w:snapToGrid w:val="0"/>
      <w:ind w:left="0" w:right="0" w:firstLine="480"/>
      <w:jc w:val="left"/>
    </w:pPr>
    <w:rPr>
      <w:rFonts w:ascii="宋体" w:hAnsi="宋体" w:cs="宋体"/>
      <w:sz w:val="21"/>
      <w:szCs w:val="21"/>
      <w:lang w:bidi="en-US"/>
    </w:rPr>
  </w:style>
  <w:style w:type="paragraph" w:customStyle="1" w:styleId="48">
    <w:name w:val="正文1"/>
    <w:basedOn w:val="1"/>
    <w:qFormat/>
    <w:uiPriority w:val="0"/>
    <w:pPr>
      <w:tabs>
        <w:tab w:val="clear" w:pos="377"/>
      </w:tabs>
      <w:snapToGrid w:val="0"/>
      <w:ind w:left="0" w:right="0" w:firstLine="480"/>
      <w:jc w:val="left"/>
    </w:pPr>
    <w:rPr>
      <w:szCs w:val="20"/>
      <w:lang w:eastAsia="en-US" w:bidi="en-US"/>
    </w:rPr>
  </w:style>
  <w:style w:type="paragraph" w:customStyle="1" w:styleId="49">
    <w:name w:val="图名英文"/>
    <w:basedOn w:val="1"/>
    <w:qFormat/>
    <w:uiPriority w:val="0"/>
    <w:pPr>
      <w:tabs>
        <w:tab w:val="clear" w:pos="377"/>
      </w:tabs>
      <w:snapToGrid w:val="0"/>
      <w:ind w:left="0" w:right="0" w:firstLine="480"/>
      <w:jc w:val="center"/>
    </w:pPr>
    <w:rPr>
      <w:sz w:val="21"/>
      <w:szCs w:val="21"/>
      <w:lang w:eastAsia="en-US" w:bidi="en-US"/>
    </w:rPr>
  </w:style>
  <w:style w:type="paragraph" w:customStyle="1" w:styleId="50">
    <w:name w:val="样式 标题 1 + 段后: 1 行"/>
    <w:basedOn w:val="2"/>
    <w:qFormat/>
    <w:uiPriority w:val="0"/>
    <w:pPr>
      <w:keepLines w:val="0"/>
      <w:numPr>
        <w:ilvl w:val="0"/>
        <w:numId w:val="0"/>
      </w:numPr>
      <w:tabs>
        <w:tab w:val="clear" w:pos="377"/>
      </w:tabs>
      <w:snapToGrid w:val="0"/>
      <w:spacing w:before="0" w:after="240"/>
      <w:jc w:val="left"/>
      <w:outlineLvl w:val="9"/>
    </w:pPr>
    <w:rPr>
      <w:rFonts w:ascii="Cambria" w:hAnsi="Cambria" w:cs="宋体"/>
      <w:bCs w:val="0"/>
      <w:kern w:val="2"/>
      <w:szCs w:val="20"/>
      <w:lang w:bidi="en-US"/>
    </w:rPr>
  </w:style>
  <w:style w:type="paragraph" w:customStyle="1" w:styleId="51">
    <w:name w:val="样式 参考文献标题 + 段后: 1 行"/>
    <w:basedOn w:val="1"/>
    <w:qFormat/>
    <w:uiPriority w:val="0"/>
    <w:pPr>
      <w:keepNext/>
      <w:tabs>
        <w:tab w:val="clear" w:pos="377"/>
      </w:tabs>
      <w:snapToGrid w:val="0"/>
      <w:spacing w:before="0" w:after="240" w:line="360" w:lineRule="auto"/>
      <w:jc w:val="center"/>
      <w:outlineLvl w:val="0"/>
    </w:pPr>
    <w:rPr>
      <w:rFonts w:ascii="Cambria" w:hAnsi="Cambria" w:eastAsia="黑体" w:cs="宋体"/>
      <w:kern w:val="2"/>
      <w:sz w:val="30"/>
      <w:szCs w:val="20"/>
      <w:lang w:bidi="en-US"/>
    </w:rPr>
  </w:style>
  <w:style w:type="paragraph" w:customStyle="1" w:styleId="52">
    <w:name w:val="alt"/>
    <w:basedOn w:val="1"/>
    <w:qFormat/>
    <w:uiPriority w:val="0"/>
    <w:pPr>
      <w:tabs>
        <w:tab w:val="clear" w:pos="377"/>
      </w:tabs>
      <w:spacing w:before="100" w:after="100" w:line="240" w:lineRule="auto"/>
      <w:jc w:val="left"/>
    </w:pPr>
    <w:rPr>
      <w:rFonts w:ascii="宋体" w:hAnsi="宋体" w:cs="宋体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theme" Target="theme/theme1.xml"/><Relationship Id="rId12" Type="http://schemas.openxmlformats.org/officeDocument/2006/relationships/footer" Target="footer3.xml"/><Relationship Id="rId11" Type="http://schemas.openxmlformats.org/officeDocument/2006/relationships/footer" Target="footer2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大连理工大学学士学位论文模板</Template>
  <Pages>12</Pages>
  <Words>767</Words>
  <Characters>907</Characters>
  <TotalTime>145</TotalTime>
  <ScaleCrop>false</ScaleCrop>
  <LinksUpToDate>false</LinksUpToDate>
  <CharactersWithSpaces>1122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2015-10-24T10:04:00Z</dcterms:created>
  <dc:creator>安家谊</dc:creator>
  <cp:lastModifiedBy>8号高天宇</cp:lastModifiedBy>
  <cp:lastPrinted>2015-12-07T16:42:00Z</cp:lastPrinted>
  <dcterms:modified xsi:type="dcterms:W3CDTF">2026-10-20T02:50:48Z</dcterms:modified>
  <dc:subject>调研型项目成果报告</dc:subject>
  <dc:title>数字人交互系统技术调查报告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217398D109464B6180FCAA3F1FD8ADDD_12</vt:lpwstr>
  </property>
  <property fmtid="{D5CDD505-2E9C-101B-9397-08002B2CF9AE}" pid="3" name="KSOProductBuildVer">
    <vt:lpwstr>2052-12.1.0.28505</vt:lpwstr>
  </property>
  <property fmtid="{D5CDD505-2E9C-101B-9397-08002B2CF9AE}" pid="4" name="KSORubyTemplateID">
    <vt:lpwstr>6</vt:lpwstr>
  </property>
  <property fmtid="{D5CDD505-2E9C-101B-9397-08002B2CF9AE}" pid="5" name="KSOTemplateDocerSaveRecord">
    <vt:lpwstr>eyJoZGlkIjoiOGZkOTI3MDJlY2U1ZjNhMmIxN2ZlYzgwNjQ2N2E3YzYiLCJ1c2VySWQiOiI4NjIwNzI1OTQifQ==</vt:lpwstr>
  </property>
</Properties>
</file>