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300"/>
        <w:jc w:val="center"/>
      </w:pPr>
      <w:r>
        <w:rPr>
          <w:b/>
          <w:bCs/>
          <w:color w:val="2E5C8A"/>
          <w:sz w:val="52"/>
          <w:szCs w:val="52"/>
        </w:rPr>
        <w:t xml:space="preserve">视觉服务接口契约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API Contract v1（冻结稿）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智能桌宠助手 DeskPet — 桌宠客户端 ↔ 非 LLM 视觉服务</w:t>
      </w:r>
    </w:p>
    <w:p>
      <w:pPr>
        <w:spacing w:after="700"/>
        <w:jc w:val="center"/>
      </w:pPr>
      <w:r>
        <w:rPr>
          <w:color w:val="1E5C42"/>
          <w:sz w:val="20"/>
          <w:szCs w:val="20"/>
        </w:rPr>
        <w:t xml:space="preserve">契约一旦冻结，客户端与服务端即可并行开发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项目信息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视觉服务接口契约 — API Contract v1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所属方案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智能桌宠助手 DeskPet 完整方案设计文档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v1.0（冻结稿）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接口双方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桌宠客户端（瘦客户端，发起方）↔ 非 LLM 视觉服务（用户服务器，提供方）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协议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 + JSON / multipart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冻结 —— 修改须走第八章的演进规则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一、概述</w:t>
      </w:r>
    </w:p>
    <w:p>
      <w:pPr>
        <w:spacing w:after="120"/>
      </w:pPr>
      <w:r>
        <w:t xml:space="preserve">本文档定义桌宠客户端与「非 LLM 视觉服务」之间的接口契约。客户端把用户划定区域的画面帧发给服务，服务返回结构化的提取结果。</w:t>
      </w:r>
    </w:p>
    <w:p>
      <w:pPr>
        <w:spacing w:after="120"/>
      </w:pPr>
      <w:r>
        <w:t xml:space="preserve">先冻结契约的意义：契约一旦确定，客户端团队可以照着请求 / 响应格式开发并用 mock 服务联调，服务端团队可以照着同一份契约实现流水线，两边互不阻塞、并行推进。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阅读前提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本契约是《非 LLM 视觉服务 — 框架设计》的接口层形式化，二者需保持一致。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已确认的相关决策：公式转码目标为 LaTeX；表格转码目标为结构化 JSON；图表不转码、由服务返回图像裁剪交下游 LLM 描述；一期识别器覆盖 文本 / 表格 / 公式 / 代码。</w:t>
            </w:r>
          </w:p>
        </w:tc>
      </w:tr>
    </w:tbl>
    <w:p>
      <w:pPr>
        <w:pStyle w:val="Heading2"/>
      </w:pPr>
      <w:r>
        <w:t xml:space="preserve">1.1 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帧 frame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客户端捕获的、用户划定区域的一张静态画面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 block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服务在一帧中切分出的语义单元（文本 / 表格 / 公式 / 代码 / 符号 / 图表 等）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encoded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区块被转码后的「机器可理解表示」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encoded 采用的目标格式（如 latex、table-json）</w:t>
            </w:r>
          </w:p>
        </w:tc>
      </w:tr>
    </w:tbl>
    <w:p>
      <w:pPr>
        <w:pStyle w:val="Heading1"/>
      </w:pPr>
      <w:r>
        <w:t xml:space="preserve">二、传输与通用约定</w:t>
      </w:r>
    </w:p>
    <w:p>
      <w:pPr>
        <w:pStyle w:val="Heading2"/>
      </w:pPr>
      <w:r>
        <w:t xml:space="preserve">2.1 协议与基址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全部接口走 HTTPS，强制 TLS；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服务基址（Base URL）由用户在桌宠客户端设置中填写，例如 https://your-server.example.com；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所有路径带版本前缀 /v1，完整形式：{BaseURL}/v1/{path}。</w:t>
      </w:r>
    </w:p>
    <w:p>
      <w:pPr>
        <w:pStyle w:val="Heading2"/>
      </w:pPr>
      <w:r>
        <w:t xml:space="preserve">2.2 认证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采用 Bearer Token：客户端在请求头携带 Authorization: Bearer {token}；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 由用户在客户端与服务端两侧配置一致；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缺失 / 错误 token 一律返回 401。</w:t>
      </w:r>
    </w:p>
    <w:p>
      <w:pPr>
        <w:pStyle w:val="Heading2"/>
      </w:pPr>
      <w:r>
        <w:t xml:space="preserve">2.3 通用请求头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请求头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是否必填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Bearer {token}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X-DeskPet-Client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客户端版本号，如 deskpet/0.1.0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X-Request-Id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选填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客户端生成的请求 ID；不填则服务端生成并在响应回传</w:t>
            </w:r>
          </w:p>
        </w:tc>
      </w:tr>
    </w:tbl>
    <w:p>
      <w:pPr>
        <w:pStyle w:val="Heading2"/>
      </w:pPr>
      <w:r>
        <w:t xml:space="preserve">2.4 版本策略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路径级版本：/v1、/v2 …；v1 在生命周期内只做向后兼容的增量变更；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破坏性变更必须升版本号，旧版本保留过渡期（见第八章）。</w:t>
      </w:r>
    </w:p>
    <w:p>
      <w:pPr>
        <w:pStyle w:val="Heading1"/>
      </w:pPr>
      <w:r>
        <w:t xml:space="preserve">三、接口列表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/v1/extract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提交一帧画面，返回结构化提取结果（主接口）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/v1/capabilities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查询服务能力：启用了哪些识别器、各自的目标格式、限制项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/v1/health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健康检查，用于客户端探活</w:t>
            </w:r>
          </w:p>
        </w:tc>
      </w:tr>
    </w:tbl>
    <w:p>
      <w:pPr>
        <w:pStyle w:val="Heading1"/>
      </w:pPr>
      <w:r>
        <w:t xml:space="preserve">四、POST /v1/extract 详解</w:t>
      </w:r>
    </w:p>
    <w:p>
      <w:pPr>
        <w:pStyle w:val="Heading2"/>
      </w:pPr>
      <w:r>
        <w:t xml:space="preserve">4.1 请求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Content-Type：multipart/form-data，包含两个部分；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part「image」：帧图像二进制，image/png（首选）或 image/jpeg；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part「metadata」：application/json，字段见 4.2。</w:t>
      </w:r>
    </w:p>
    <w:p>
      <w:pPr>
        <w:pStyle w:val="Heading2"/>
      </w:pPr>
      <w:r>
        <w:t xml:space="preserve">4.2 请求 metadata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region_id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用户划定的观察区域 ID，标识这一帧来自哪个区域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frame_seq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客户端帧序号，单调递增，用于排序与对账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captured_at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帧捕获时间，ISO 8601，如 2026-05-15T06:30:00Z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region_size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区域像素尺寸 { w:int, h:int 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content_hash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客户端对该帧算的感知哈希，供对账 / 去重，服务端不据此缓存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见 4.3</w:t>
            </w:r>
          </w:p>
        </w:tc>
      </w:tr>
    </w:tbl>
    <w:p>
      <w:pPr>
        <w:pStyle w:val="Heading3"/>
      </w:pPr>
      <w:r>
        <w:t xml:space="preserve">4.3 metadata.options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3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默认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include_reading_text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是否在响应里返回按阅读顺序拼出的 reading_text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include_chart_crop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 块是否返回 image_crop（关掉则只给 bbox）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max_blocks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单帧最多返回的区块数，超出按阅读顺序截断</w:t>
            </w:r>
          </w:p>
        </w:tc>
      </w:tr>
    </w:tbl>
    <w:p>
      <w:pPr>
        <w:pStyle w:val="Heading2"/>
      </w:pPr>
      <w:r>
        <w:t xml:space="preserve">4.4 响应体（200 OK）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"ok": true,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"request_id": "req_8f3a1c",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"region_id": "region_1",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"frame_seq": 1287,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"blocks": [ /* 见第五章，每个元素是一个区块 */ ],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"reading_text": "...",          // 全部区块按阅读顺序拼出的可读文本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"meta": {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"latency_ms": 142,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"pipeline_version": "vision-svc/0.1.0",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"recognizers_used": ["text", "table", "formula"]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4.5 响应顶层字段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成功恒为 true；失败见第六章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request_id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本次请求 ID，与 X-Request-Id 一致或服务端生成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region_id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回显请求中的 region_id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frame_seq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回显请求中的 frame_seq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区块数组，元素结构见第五章；按 order 升序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reading_text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按阅读顺序拼出的纯文本；options 关闭时为空串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处理元信息：耗时、流水线版本、本帧用到的识别器</w:t>
            </w:r>
          </w:p>
        </w:tc>
      </w:tr>
    </w:tbl>
    <w:p>
      <w:pPr>
        <w:pStyle w:val="Heading2"/>
      </w:pPr>
      <w:r>
        <w:t xml:space="preserve">4.6 完整示例</w:t>
      </w:r>
    </w:p>
    <w:p>
      <w:pPr>
        <w:spacing w:after="120"/>
      </w:pPr>
      <w:r>
        <w:t xml:space="preserve">请求 metadata：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{ "region_id": "region_1", "frame_seq": 1287,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"captured_at": "2026-05-15T06:30:00Z",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"region_size": { "w": 640, "h": 320 },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"content_hash": "p:9a3f...e1", "options": {} }</w:t>
      </w:r>
    </w:p>
    <w:p>
      <w:pPr>
        <w:spacing w:after="120"/>
      </w:pPr>
      <w:r>
        <w:t xml:space="preserve">响应：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"ok": true, "request_id": "req_8f3a1c",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"region_id": "region_1", "frame_seq": 1287,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"blocks": [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{ "id": "b1", "type": "heading", "order": 1,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"bbox": [12, 8, 300, 28], "target": "text",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"encoded": "求解步骤", "raw_text": "求解步骤",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"confidence": 0.98 },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{ "id": "b2", "type": "formula", "order": 2,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"bbox": [12, 44, 220, 40], "target": "latex",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"encoded": "\\frac{1}{2}x^2 + C",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"raw_text": "1/2 x^2 + C", "confidence": 0.91 }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"reading_text": "求解步骤\n1/2 x^2 + C",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"meta": { "latency_ms": 142,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"pipeline_version": "vision-svc/0.1.0",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"recognizers_used": ["text", "formula"] }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五、区块类型与 encoded 规范</w:t>
      </w:r>
    </w:p>
    <w:p>
      <w:pPr>
        <w:pStyle w:val="Heading2"/>
      </w:pPr>
      <w:r>
        <w:t xml:space="preserve">5.1 区块通用字段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区块在本帧内的唯一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区块类型枚举，见 5.2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阅读顺序序号，从 1 递增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bbox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int[4]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区块在区域内的坐标 [x, y, w, h]，像素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string|null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encoded 的目标格式；chart / unknown 为 null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encoded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string|object|null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机器可理解表示，结构随 type 而定，见 5.2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原始 OCR 文本兜底；chart 可为空串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0~1，转码 / 识别置信度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image_crop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string|null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仅 type=chart 提供：该区块的 PNG 图像裁剪，base64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string|null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标记位，如 low_confidence、untranscoded</w:t>
            </w:r>
          </w:p>
        </w:tc>
      </w:tr>
    </w:tbl>
    <w:p>
      <w:pPr>
        <w:pStyle w:val="Heading2"/>
      </w:pPr>
      <w:r>
        <w:t xml:space="preserve">5.2 各类型的 type / target / encoded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1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encoded 结构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string（纯文本）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"这是一段文字"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string（纯文本）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"第一章"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table-json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headers:string[], rows:string[][] }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"headers":["A","B"], "rows":[["1","2"]]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string（LaTeX）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"\\sum_{i=1}^{n} i"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lang:string, text:string }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"lang":"python", "text":"def f():\n    pass"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unicode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char:string, codepoint:string, name:string }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"char":"α", "codepoint":"U+03B1", "name":"greek alpha"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error-json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error_type, file, line, message, stack }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"error_type":"TypeError", "line":12, ...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null（改用 image_crop）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encoded=null, image_crop=&lt;base64 png&gt;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unknown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null（只给 raw_text）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encoded=null, raw_text="..."</w:t>
            </w:r>
          </w:p>
        </w:tc>
      </w:tr>
    </w:tbl>
    <w:p>
      <w:pPr>
        <w:pStyle w:val="Heading2"/>
      </w:pPr>
      <w:r>
        <w:t xml:space="preserve">5.3 逐类型说明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text / heading：纯文字内容，encoded 即文本本身；heading 额外表示这是标题。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table：encoded 为结构化 JSON，headers 为表头数组，rows 为二维数组；合并单元格以重复值或空串表示，具体在实现期细化但不改字段结构。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formula：encoded 为 LaTeX 字符串；raw_text 给出近似的线性文本兜底。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code：encoded 含 lang（识别出的语言，识别不出为 "plain"）与 text（保留缩进、空白、转义的源码）。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symbol：孤立特殊符号，给出字符本身、Unicode 码点、标准名称。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error：终端 / IDE 报错的结构化拆解；字段缺失时置 null。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chart：图表 / 流程图 / 示意图。服务不转码，encoded=null、target=null，改为提供 image_crop，交由下游多模态 LLM 描述。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unknown：识别不出类型或无对应识别器，encoded=null，仅 raw_text，notes 标 untranscoded。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B" w:sz="6"/>
              <w:left w:val="single" w:color="2E7D5B" w:sz="18"/>
              <w:bottom w:val="single" w:color="2E7D5B" w:sz="6"/>
              <w:right w:val="single" w:color="2E7D5B" w:sz="1"/>
            </w:tcBorders>
            <w:shd w:fill="E6F4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5C42"/>
              </w:rPr>
              <w:t xml:space="preserve">置信度与兜底约定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凡 confidence 低于服务配置阈值的区块，notes 必须标 low_confidence，且 raw_text 必须有值，让客户端 / Agent 能回退到原始文本。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服务端绝不「猜一个看似正确的结构」—— 没把握就降级为 unknown 或标 low_confidence。</w:t>
            </w:r>
          </w:p>
        </w:tc>
      </w:tr>
    </w:tbl>
    <w:p>
      <w:pPr>
        <w:pStyle w:val="Heading1"/>
      </w:pPr>
      <w:r>
        <w:t xml:space="preserve">六、错误处理</w:t>
      </w:r>
    </w:p>
    <w:p>
      <w:pPr>
        <w:pStyle w:val="Heading2"/>
      </w:pPr>
      <w:r>
        <w:t xml:space="preserve">6.1 HTTP 状态码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客户端处理建议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成功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正常解析响应体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请求格式错误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属客户端 bug，记录并上报，不重试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认证失败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提示用户检查 token 配置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413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图像过大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客户端压缩 / 缩小区域后再试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无法处理该帧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跳过本帧，等下一帧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触发限流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 Retry-After 退避后重试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服务端内部错误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短暂退避重试，连续失败则提示用户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服务不可用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标记服务离线，暂停盯守上传，定时探活</w:t>
            </w:r>
          </w:p>
        </w:tc>
      </w:tr>
    </w:tbl>
    <w:p>
      <w:pPr>
        <w:pStyle w:val="Heading2"/>
      </w:pPr>
      <w:r>
        <w:t xml:space="preserve">6.2 错误响应体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"ok": false,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"request_id": "req_8f3a1c",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"code": "IMAGE_TOO_LARGE",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"message": "frame exceeds 8 MB limit"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6.3 错误码枚举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error.code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对应状态码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UNAUTHORIZED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缺失或错误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INVALID_REQUEST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请求结构 / 字段不合法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INVALID_IMAGE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 / 422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图像无法解码或格式不支持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IMAGE_TOO_LARGE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413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超过 max_image_bytes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RATE_LIMITED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超出速率限制，配合 Retry-After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PIPELINE_ERROR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流水线处理异常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SERVICE_UNAVAILABLE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服务启动中 / 过载 / 维护</w:t>
            </w:r>
          </w:p>
        </w:tc>
      </w:tr>
    </w:tbl>
    <w:p>
      <w:pPr>
        <w:pStyle w:val="Heading1"/>
      </w:pPr>
      <w:r>
        <w:t xml:space="preserve">七、非功能约定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约定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不留存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服务端收到帧 → 提取 → 立即销毁原始帧与中间产物；不写图、不写含画面内容的日志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传输安全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强制 HTTPS / TLS；token 不出现在 URL，只在请求头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最大图像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默认单帧 ≤ 8 MB；实际值以 /v1/capabilities 返回的 max_image_bytes 为准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超时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客户端请求超时建议 10 s；服务端单帧处理超时建议 8 s，超时返回 500/PIPELINE_ERROR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限流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服务端按 token 限流；触发返回 429 + Retry-After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幂等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extract 无副作用，天然幂等；客户端可安全重试（注意退避）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可观测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服务端只记不含画面内容的指标（延迟、识别器命中率、错误率）</w:t>
            </w:r>
          </w:p>
        </w:tc>
      </w:tr>
    </w:tbl>
    <w:p>
      <w:pPr>
        <w:pStyle w:val="Heading2"/>
      </w:pPr>
      <w:r>
        <w:t xml:space="preserve">7.1 /v1/capabilities 响应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"pipeline_version": "vision-svc/0.1.0",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"recognizers": ["text", "table", "formula", "code"],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"targets": { "formula": "latex", "table": "table-json",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             "code": "code", "symbol": "unicode" },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"max_image_bytes": 8388608,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  "limits": { "rate_per_min": 120, "max_blocks": 200 }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7.2 /v1/health 响应</w:t>
      </w:r>
    </w:p>
    <w:p>
      <w:pPr>
        <w:shd w:fill="F2F2F2" w:val="clear"/>
        <w:spacing w:after="16"/>
      </w:pPr>
      <w:r>
        <w:rPr>
          <w:rFonts w:ascii="Consolas" w:cs="Consolas" w:eastAsia="Consolas" w:hAnsi="Consolas"/>
          <w:sz w:val="18"/>
          <w:szCs w:val="18"/>
        </w:rPr>
        <w:t xml:space="preserve">{ "ok": true, "status": "healthy", "pipeline_version": "vision-svc/0.1.0" }</w:t>
      </w:r>
    </w:p>
    <w:p>
      <w:pPr>
        <w:pStyle w:val="Heading1"/>
      </w:pPr>
      <w:r>
        <w:t xml:space="preserve">八、契约演进规则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向后兼容（不升版本，可直接发布）：新增可选请求字段、新增响应字段、新增 type / error.code 枚举值、新增接口；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破坏性变更（必须升 /v2）：删除 / 重命名字段、改字段类型、改字段语义、改必填性、删枚举值；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客户端实现要求：解析响应时对未知字段、未知 type、未知 error.code 做「忽略 / 降级」处理，不得直接崩溃 —— 这样服务端做兼容性增量时客户端无需同步升级；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任何变更都需更新本文档版本号与变更记录，并通知客户端 / 服务端两侧。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18"/>
              <w:bottom w:val="single" w:color="C0392B" w:sz="6"/>
              <w:right w:val="single" w:color="C0392B" w:sz="1"/>
            </w:tcBorders>
            <w:shd w:fill="FBEA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B2C1F"/>
              </w:rPr>
              <w:t xml:space="preserve">冻结后的纪律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本契约 v1 一经双方确认即冻结。冻结后，字段不再随口改 —— 要改就走上面的演进规则。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这正是「先冻结契约」的价值：两边照同一份不变的契约各自开发，联调时才不会对不上。</w:t>
            </w:r>
          </w:p>
        </w:tc>
      </w:tr>
    </w:tbl>
    <w:p>
      <w:pPr>
        <w:pStyle w:val="Heading1"/>
      </w:pPr>
      <w:r>
        <w:t xml:space="preserve">九、待办与衔接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双方确认本契约 → 正式冻结 v1；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客户端侧：按本契约实现 extract 调用 + 一个本地 mock 服务（按 schema 返回假数据）即可先行联调；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服务端侧：按本契约实现 /v1/extract、/v1/capabilities、/v1/health 三个接口的外壳，内部流水线按《非 LLM 视觉服务 — 框架设计》逐步填充；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把 reading_text、blocks 接入《桌宠视觉功能》里 Agent 的「读取观察区域」感知工具；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把 token、Base URL 配置项登记进主方案的配置模块；不留存、鉴权纳入主方案第六章。</w:t>
      </w:r>
    </w:p>
    <w:p>
      <w:pPr>
        <w:pStyle w:val="Heading2"/>
      </w:pPr>
      <w:r>
        <w:t xml:space="preserve">9.1 与其它文档的衔接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本契约是《非 LLM 视觉服务 — 框架设计》接入层与输出层的形式化，字段须与框架文档第六章一致；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响应中的 chart 块（image_crop）交下游 LLM 的链路，与《桌宠视觉功能》的第三方 LLM 处理对齐。</w:t>
      </w:r>
    </w:p>
    <w:p>
      <w:pPr>
        <w:spacing w:before="400"/>
      </w:pPr>
      <w:r>
        <w:rPr>
          <w:i/>
          <w:iCs/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DeskPet — 视觉服务接口契约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2026-05-15T06:20:26.848Z</dcterms:created>
  <dcterms:modified xsi:type="dcterms:W3CDTF">2026-05-15T06:20:26.848Z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