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300"/>
        <w:jc w:val="center"/>
      </w:pPr>
      <w:r>
        <w:rPr>
          <w:b/>
          <w:bCs/>
          <w:color w:val="2E5C8A"/>
          <w:sz w:val="52"/>
          <w:szCs w:val="52"/>
        </w:rPr>
        <w:t xml:space="preserve">非 LLM 视觉服务</w:t>
      </w:r>
    </w:p>
    <w:p>
      <w:pPr>
        <w:spacing w:after="120"/>
        <w:jc w:val="center"/>
      </w:pPr>
      <w:r>
        <w:rPr>
          <w:b/>
          <w:bCs/>
          <w:sz w:val="34"/>
          <w:szCs w:val="34"/>
        </w:rPr>
        <w:t xml:space="preserve">框架设计文档</w:t>
      </w:r>
    </w:p>
    <w:p>
      <w:pPr>
        <w:spacing w:after="200"/>
        <w:jc w:val="center"/>
      </w:pPr>
      <w:r>
        <w:rPr>
          <w:color w:val="595959"/>
          <w:sz w:val="24"/>
          <w:szCs w:val="24"/>
        </w:rPr>
        <w:t xml:space="preserve">智能桌宠助手 DeskPet — 自托管视觉服务子模块</w:t>
      </w:r>
    </w:p>
    <w:p>
      <w:pPr>
        <w:spacing w:after="700"/>
        <w:jc w:val="center"/>
      </w:pPr>
      <w:r>
        <w:rPr>
          <w:color w:val="1E5C42"/>
          <w:sz w:val="20"/>
          <w:szCs w:val="20"/>
        </w:rPr>
        <w:t xml:space="preserve">核心：把屏幕区域里的特殊符号与格式，自动转码成机器可理解的规范化表示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项目信息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内容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文档名称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非 LLM 视觉服务 — 框架设计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所属方案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智能桌宠助手 DeskPet 完整方案设计文档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版本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v1.0（框架稿）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2026-05-15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部署位置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用户自有服务器（不打包进桌宠客户端）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核心职责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区域画面 → 结构化表示；特殊符号 / 格式自动转码为机器语言（LaTeX、JSON、Markdown 等）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定位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纯感知 / 提取，不含 LLM 推理；输出供 Agent / LLM 使用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一、概述与定位</w:t>
      </w:r>
    </w:p>
    <w:p>
      <w:pPr>
        <w:spacing w:after="120"/>
      </w:pPr>
      <w:r>
        <w:t xml:space="preserve">非 LLM 视觉服务是部署在用户自有服务器上的一个组件。桌宠客户端把用户划定区域的画面帧发过来，本服务负责把画面「看懂」并转成机器可理解的结构化表示，再返回给客户端 / Agent。它本身不含 LLM、不做推理，只做「感知与提取」。</w:t>
      </w:r>
    </w:p>
    <w:p>
      <w:pPr>
        <w:spacing w:after="120"/>
      </w:pPr>
      <w:r>
        <w:t xml:space="preserve">本文档先打出整体框架：流水线分几段、每段干什么、模块怎么组织，重点展开「转码层」—— 即把特殊符号与格式自动转成机器语言的部分。</w:t>
      </w:r>
    </w:p>
    <w:p>
      <w:pPr>
        <w:pStyle w:val="Heading2"/>
      </w:pPr>
      <w:r>
        <w:t xml:space="preserve">1.1 为什么「转码」是核心</w:t>
      </w:r>
    </w:p>
    <w:p>
      <w:pPr>
        <w:spacing w:after="120"/>
      </w:pPr>
      <w:r>
        <w:t xml:space="preserve">普通 OCR 只会把画面里的字「抄」出来，遇到分数、积分、表格、代码缩进、化学式、流程图这类「特殊符号与格式」就会丢失结构、抄乱、或抄成一串无意义字符。本服务的关键价值，是识别出这些特殊内容的「类型」，再把它转成对应的、机器能精确理解的规范化表示 —— 例如把一个分数画面转成 LaTeX，把一张表格转成结构化 JSON。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6"/>
              <w:left w:val="single" w:color="C9A227" w:sz="18"/>
              <w:bottom w:val="single" w:color="C9A227" w:sz="6"/>
              <w:right w:val="single" w:color="C9A227" w:sz="1"/>
            </w:tcBorders>
            <w:shd w:fill="FBF6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</w:rPr>
              <w:t xml:space="preserve">「机器可理解的规范化表示」是什么意思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指有明确语法、可被程序无歧义解析的表示形式，而不是「看起来像那么回事」的纯文本。例如：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数学公式 → LaTeX；表格 → 结构化 JSON；代码 → 保留缩进与转义的纯文本 + 语言标注；化学式 → SMILES。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这样下游的 Agent / LLM 拿到的就是「结构」而不是「一团字」，回答才能准。</w:t>
            </w:r>
          </w:p>
        </w:tc>
      </w:tr>
    </w:tbl>
    <w:p>
      <w:pPr>
        <w:spacing w:after="120"/>
      </w:pPr>
      <w:r>
        <w:t xml:space="preserve">注：图表 / 流程图 / 示意图这类「需要看图理解」的内容，本服务不做转码，只把它标记成 chart 块、附上图像裁剪，交由下游的（多模态）LLM 去描述 —— 这是经确认的分工。</w:t>
      </w:r>
    </w:p>
    <w:p>
      <w:pPr>
        <w:pStyle w:val="Heading2"/>
      </w:pPr>
      <w:r>
        <w:t xml:space="preserve">1.2 设计目标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准：特殊符号 / 格式不丢结构，转码结果可被程序解析；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可扩展：新增一种「特殊格式」只需加一个识别器 + 一个转码器，不动主流程；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轻接入：对客户端只暴露一个简单接口，输入帧、输出统一 schema 的结构化结果；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守规矩：呼应视觉功能铁律 —— 收到即提取、提取即销毁，不留存原始帧。</w:t>
      </w:r>
    </w:p>
    <w:p>
      <w:pPr>
        <w:pStyle w:val="Heading1"/>
      </w:pPr>
      <w:r>
        <w:t xml:space="preserve">二、总体框架（处理流水线）</w:t>
      </w:r>
    </w:p>
    <w:p>
      <w:pPr>
        <w:spacing w:after="120"/>
      </w:pPr>
      <w:r>
        <w:t xml:space="preserve">服务内部是一条八段流水线，一帧画面从进入到产出结构化结果，依次经过：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[1] 接入层    收帧 / 鉴权 / 校验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  ↓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[2] 预处理    去噪 / 矫正 / DPI 归一化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  ↓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[3] 版面分析  切块：文本 / 表格 / 公式 / 代码 / 图表 / 符号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  ↓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[4] 区块分派  按块类型分发给对应识别器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  ↓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[5] 专项识别器（可插拔）  各类型各自识别 → 原始结果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  ↓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[6] 转码层    特殊符号 / 格式 → 机器语言（LaTeX / JSON / Markdown…）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  ↓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[7] 结构化合并  按阅读顺序拼成一份统一结构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  ↓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[8] 输出层    统一 schema 的 JSON 返回客户端</w:t>
      </w:r>
    </w:p>
    <w:p>
      <w:pPr>
        <w:pStyle w:val="Heading2"/>
      </w:pPr>
      <w:r>
        <w:t xml:space="preserve">2.1 八段概览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名称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职责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接入层 Ingest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接收客户端帧、鉴权、格式与尺寸校验、限流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预处理 Preprocess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去噪、对比度 / 二值化、倾斜矫正、DPI 与分辨率归一化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版面分析 Layout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把区域切成语义区块，并给每块打上类型标签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区块分派 Dispatch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按块类型路由到对应的专项识别器，可并行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专项识别器 Recognizers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文本 / 表格 / 公式 / 代码 / 图表 / 符号等各自识别，产出原始结果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转码层 Transcoding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把原始结果归一化为机器语言（本服务的核心，见第四章）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结构化合并 Assembly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按阅读顺序合并各块，处理多栏 / 脚注 / 嵌套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输出层 Output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组装统一 schema 的 JSON，附置信度，返回客户端</w:t>
            </w:r>
          </w:p>
        </w:tc>
      </w:tr>
    </w:tbl>
    <w:p>
      <w:pPr>
        <w:pStyle w:val="Heading1"/>
      </w:pPr>
      <w:r>
        <w:t xml:space="preserve">三、各阶段详细设计</w:t>
      </w:r>
    </w:p>
    <w:p>
      <w:pPr>
        <w:pStyle w:val="Heading2"/>
      </w:pPr>
      <w:r>
        <w:t xml:space="preserve">3.1 接入层 Ingest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对外只暴露一个接口（HTTP / gRPC），输入：一帧图像 + 元数据（区域尺寸、来源等）；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鉴权：与客户端之间用 token / 证书校验，防止他人盗用你的视觉服务；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校验与限流：图像格式 / 尺寸校验，单客户端速率限制，防止异常占满服务器；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收到帧后只在内存中流转，不写盘。</w:t>
      </w:r>
    </w:p>
    <w:p>
      <w:pPr>
        <w:pStyle w:val="Heading2"/>
      </w:pPr>
      <w:r>
        <w:t xml:space="preserve">3.2 预处理 Preprocess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去噪、增强对比度，必要时二值化，提升后续识别准确率；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倾斜 / 透视矫正（截图一般不歪，但留好这一步）；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DPI 与分辨率归一化，让识别器面对统一尺度的输入。</w:t>
      </w:r>
    </w:p>
    <w:p>
      <w:pPr>
        <w:pStyle w:val="Heading2"/>
      </w:pPr>
      <w:r>
        <w:t xml:space="preserve">3.3 版面分析 Layout</w:t>
      </w:r>
    </w:p>
    <w:p>
      <w:pPr>
        <w:spacing w:after="120"/>
      </w:pPr>
      <w:r>
        <w:t xml:space="preserve">这一步决定后面识别得准不准：把区域画面切成一个个语义区块，并给每块打类型标签。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区块类型：普通文本、标题、表格、数学公式、代码块、图表 / 示意图、图片、孤立符号等；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同时记录每块的位置坐标和在阅读顺序中的序号（供第七步合并用）；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支持嵌套（如表格单元格里又有公式）。</w:t>
      </w:r>
    </w:p>
    <w:p>
      <w:pPr>
        <w:pStyle w:val="Heading2"/>
      </w:pPr>
      <w:r>
        <w:t xml:space="preserve">3.4 区块分派 Dispatch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按块类型把每块路由到对应的专项识别器；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chart 块（图表 / 流程图 / 示意图）走「直通」：不进识别器，只带上图像裁剪与坐标，留给下游 LLM 描述；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不同块之间互相独立，可并行处理，缩短整帧延迟；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没有匹配识别器的块 → 回退给通用文本 OCR，并标记「未专项处理」。</w:t>
      </w:r>
    </w:p>
    <w:p>
      <w:pPr>
        <w:pStyle w:val="Heading2"/>
      </w:pPr>
      <w:r>
        <w:t xml:space="preserve">3.5 专项识别器 Recognizers（可插拔）</w:t>
      </w:r>
    </w:p>
    <w:p>
      <w:pPr>
        <w:spacing w:after="120"/>
      </w:pPr>
      <w:r>
        <w:t xml:space="preserve">每种内容类型对应一个识别器，全部遵循统一接口、可插拔（见第五章）。识别器覆盖范围：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识别器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阶段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负责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文本 OCR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一期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普通文字、标题、段落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表格识别器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一期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识别行列结构、表头、合并单元格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公式识别器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一期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数学 / 物理公式：分数、根号、积分、求和、矩阵、上下标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代码识别器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一期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代码块：保留缩进、空白、特殊字符、转义；识别语言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符号识别器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二期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孤立特殊符号：希腊字母、箭头、货币、单位、上下标、emoji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6"/>
              <w:left w:val="single" w:color="C9A227" w:sz="18"/>
              <w:bottom w:val="single" w:color="C9A227" w:sz="6"/>
              <w:right w:val="single" w:color="C9A227" w:sz="1"/>
            </w:tcBorders>
            <w:shd w:fill="FBF6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</w:rPr>
              <w:t xml:space="preserve">图表不在本服务识别范围内（经确认的分工）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图表 / 流程图 / 示意图这类需要「看图理解」的内容，本服务不设识别器、不做转码。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版面分析仍会把它识别为一个 chart 块，但分派阶段走「直通（passthrough）」：只附上该块的图像裁剪与坐标，标记 type=chart，由下游的多模态 LLM 去描述。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需注意：这意味着图表块的图像裁剪会随结果交给 LLM。若 LLM 是第三方，需与《桌宠视觉功能》文档的第三方 LLM 处理保持一致。</w:t>
            </w:r>
          </w:p>
        </w:tc>
      </w:tr>
    </w:tbl>
    <w:p>
      <w:pPr>
        <w:pStyle w:val="Heading2"/>
      </w:pPr>
      <w:r>
        <w:t xml:space="preserve">3.6 转码层 Transcoding</w:t>
      </w:r>
    </w:p>
    <w:p>
      <w:pPr>
        <w:spacing w:after="120"/>
      </w:pPr>
      <w:r>
        <w:t xml:space="preserve">本服务的核心，单独在第四章详细展开。各识别器产出的是「原始结果」，转码层负责把它归一化成机器语言。</w:t>
      </w:r>
    </w:p>
    <w:p>
      <w:pPr>
        <w:pStyle w:val="Heading2"/>
      </w:pPr>
      <w:r>
        <w:t xml:space="preserve">3.7 结构化合并 Assembly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按版面分析记录的阅读顺序，把各块的转码结果拼成一份统一结构；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处理多栏排版、脚注、页眉页脚的顺序重建；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处理嵌套关系（表格里的公式、列表里的代码等）。</w:t>
      </w:r>
    </w:p>
    <w:p>
      <w:pPr>
        <w:pStyle w:val="Heading2"/>
      </w:pPr>
      <w:r>
        <w:t xml:space="preserve">3.8 输出层 Output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组装成统一 schema 的 JSON（见第六章），每个块带类型、转码结果、置信度、坐标；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返回客户端后，服务端立即销毁原始帧与中间产物。</w:t>
      </w:r>
    </w:p>
    <w:p>
      <w:pPr>
        <w:pStyle w:val="Heading1"/>
      </w:pPr>
      <w:r>
        <w:t xml:space="preserve">四、转码层详解（核心）</w:t>
      </w:r>
    </w:p>
    <w:p>
      <w:pPr>
        <w:pStyle w:val="Heading2"/>
      </w:pPr>
      <w:r>
        <w:t xml:space="preserve">4.1 设计思想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识别与转码分离：识别器只管「认出来这是什么、内容是什么」，转码器只管「转成哪种机器语言」—— 两者解耦，便于各自替换；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每种类型对应一个转码器，转码器也可插拔；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转码目标尽量选「成熟、通用、可解析」的标准格式，不自创格式。</w:t>
      </w:r>
    </w:p>
    <w:p>
      <w:pPr>
        <w:pStyle w:val="Heading2"/>
      </w:pPr>
      <w:r>
        <w:t xml:space="preserve">4.2 特殊符号 / 格式 → 机器语言 映射表</w:t>
      </w:r>
    </w:p>
    <w:p>
      <w:pPr>
        <w:spacing w:after="120"/>
      </w:pPr>
      <w:r>
        <w:t xml:space="preserve">这是转码层的核心配置 —— 各类特殊内容对应转成什么：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2800"/>
        <w:gridCol w:w="23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屏幕上的样子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转码目标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示例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数学公式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分数、根号、积分、求和、矩阵、上下标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LaTeX（已确认）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∑ → \sum；½ → \frac{1}{2}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表格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带边框 / 对齐的网格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结构化 JSON，行列+表头（已确认）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{header:[...], rows:[[...]]}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代码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含缩进、空白、特殊字符、转义符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纯文本（保留空白）+ 语言标注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{lang:"python", text:"..."}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化学式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苯环、键线式、结构式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SMILES / InChI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苯 → c1ccccc1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富文本格式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粗体 / 斜体 / 标题层级 / 颜色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Markdown 或语义标签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**粗体**、# 标题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特殊字符 / 符号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希腊字母、箭头、货币、上下标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规范化 Unicode + 语义标注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α → U+03B1（greek alpha）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报错信息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终端 / IDE 里的报错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结构化（类型 / 文件 / 行号 / 堆栈）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{type, file, line, stack}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单位与量纲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5kg、3.5%、12:30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规范化数值 + 单位字段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{value:5, unit:"kg"}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多栏 / 复杂排版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多列、脚注、分栏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重建阅读顺序后的线性结构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ordered blocks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图表 / 流程图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节点 + 箭头 + 统计图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不转码 —— 标记 chart 块、附图像裁剪，交 LLM 描述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{type:"chart", crop:...}</w:t>
            </w:r>
          </w:p>
        </w:tc>
      </w:tr>
    </w:tbl>
    <w:p>
      <w:pPr>
        <w:pStyle w:val="Heading2"/>
      </w:pPr>
      <w:r>
        <w:t xml:space="preserve">4.3 转码器接口</w:t>
      </w:r>
    </w:p>
    <w:p>
      <w:pPr>
        <w:spacing w:after="120"/>
      </w:pPr>
      <w:r>
        <w:t xml:space="preserve">所有转码器实现同一个接口，便于注册与替换：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interface Transcoder {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type: string                 // 处理的块类型，如 'formula'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target: string                // 目标格式，如 'latex'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transcode(raw): {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encoded: string | object,   // 机器语言表示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target: string,             // 实际用的目标格式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confidence: number          // 0~1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2"/>
      </w:pPr>
      <w:r>
        <w:t xml:space="preserve">4.4 置信度与回退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每个转码结果都带置信度；低于阈值时，标记为「低置信」并附上原始 OCR 文本作为兜底；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识别不出类型 / 无对应转码器 → 回退为纯文本，明确标注「未转码」，绝不瞎转；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宁可如实说「这块没把握」，也不要给下游一个看似正确实则错误的结构。</w:t>
      </w:r>
    </w:p>
    <w:p>
      <w:pPr>
        <w:pStyle w:val="Heading1"/>
      </w:pPr>
      <w:r>
        <w:t xml:space="preserve">五、可插拔识别器 / 转码器架构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识别器注册表（Registry）：服务启动时按配置加载识别器与转码器，块类型 → 识别器 → 转码器形成一条链；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新增一种特殊格式的成本：实现一个识别器 + 一个转码器，在注册表登记，主流水线零改动；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识别器 / 转码器都可独立升级、替换、灰度，互不影响；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配置驱动：哪些识别器启用、各自的目标格式、置信度阈值，都走配置文件。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registry.register({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blockType: 'formula',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recognizer: FormulaRecognizer,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transcoder: LatexTranscoder,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minConfidence: 0.6,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})</w:t>
      </w:r>
    </w:p>
    <w:p>
      <w:pPr>
        <w:pStyle w:val="Heading1"/>
      </w:pPr>
      <w:r>
        <w:t xml:space="preserve">六、统一输出 Schema</w:t>
      </w:r>
    </w:p>
    <w:p>
      <w:pPr>
        <w:spacing w:after="120"/>
      </w:pPr>
      <w:r>
        <w:t xml:space="preserve">无论区域里是什么，服务都返回同一种结构，客户端 / Agent 只需按这一个 schema 解析：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"ok": true,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"blocks": [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{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  "id": "b1",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  "type": "formula",          // 块类型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  "order": 1,                   // 阅读顺序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  "bbox": [x, y, w, h],         // 区域内坐标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  "target": "latex",          // 转码目标格式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  "encoded": "\\frac{1}{2}", // 机器语言表示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  "raw_text": "1/2",          // 兜底的原始文本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  "confidence": 0.93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// ... 更多块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],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"reading_text": "..."            // 全部块按阅读顺序拼出的可读文本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  <w:r>
        <w:t xml:space="preserve">说明：每块同时给出「encoded（机器语言）」和「raw_text（原始文本兜底）」，下游可优先用结构化结果，必要时回退到原始文本。</w:t>
      </w:r>
    </w:p>
    <w:p>
      <w:pPr>
        <w:spacing w:after="120"/>
      </w:pPr>
      <w:r>
        <w:t xml:space="preserve">特例：type=chart 的块没有 encoded / raw_text，而是带一个 image_crop 字段（该块的图像裁剪），由下游多模态 LLM 据此生成描述。</w:t>
      </w:r>
    </w:p>
    <w:p>
      <w:pPr>
        <w:pStyle w:val="Heading1"/>
      </w:pPr>
      <w:r>
        <w:t xml:space="preserve">七、非功能要求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方面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要求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不留存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收到帧 → 提取 → 立即销毁；不写图、不写含画面的日志（呼应视觉功能铁律）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鉴权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客户端与服务之间 token / 证书鉴权；接口不对公网裸奔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性能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区块并行识别；只处理客户端发来的「有变化的帧」；控制单帧延迟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可观测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只记录不含画面内容的指标日志（延迟、各识别器命中率、置信度分布）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可降级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某识别器 / 转码器异常时，该块回退为纯文本，不拖垮整帧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资源隔离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识别器在受限环境运行，单帧超时即中止，防止拖垮服务</w:t>
            </w:r>
          </w:p>
        </w:tc>
      </w:tr>
    </w:tbl>
    <w:p>
      <w:pPr>
        <w:pStyle w:val="Heading1"/>
      </w:pPr>
      <w:r>
        <w:t xml:space="preserve">八、目录结构（建议）</w:t>
      </w:r>
    </w:p>
    <w:p>
      <w:pPr>
        <w:spacing w:after="120"/>
      </w:pPr>
      <w:r>
        <w:t xml:space="preserve">vision-service/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api/ —— 接入层：接口、鉴权、校验、限流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pipeline/ —— 流水线编排：预处理、版面分析、分派、合并、输出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recognizers/ —— 各专项识别器（文本 / 表格 / 公式 / 代码 / 符号 / 图表）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transcoders/ —— 各转码器（latex / table-json / code / smiles / mermaid …）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registry/ —— 识别器与转码器注册表 + 配置加载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schema/ —— 统一输出 schema 定义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config/ —— 启用项、目标格式、置信度阈值等配置</w:t>
      </w:r>
    </w:p>
    <w:p>
      <w:pPr>
        <w:pStyle w:val="Heading1"/>
      </w:pPr>
      <w:r>
        <w:t xml:space="preserve">九、待办与衔接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先定接口契约：接入层的输入 / 输出 schema 先冻结，客户端和服务端可并行开发；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M3：搭流水线骨架 + 接入层 + 文本 OCR + 表格识别器 + 对应转码器，先打通主链路；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M3：版面分析 + 区块分派（含 chart 块直通）+ 结构化合并；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M4：公式（→LaTeX）、代码识别器与转码器补齐；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M4：符号识别器（二期）；置信度回退、可观测、资源隔离等非功能项。</w:t>
      </w:r>
    </w:p>
    <w:p>
      <w:pPr>
        <w:pStyle w:val="Heading2"/>
      </w:pPr>
      <w:r>
        <w:t xml:space="preserve">9.1 与其它文档的衔接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本服务的接口即《桌宠视觉功能》中「客户端 → 你的服务器」那一段，输出 schema 需两边对齐；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输出的结构化结果，是《桌宠视觉功能》里 Agent / LLM 做问答的输入；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chart 块的图像裁剪交给 LLM 描述，这条链路需与《桌宠视觉功能》的第三方 LLM 处理对齐；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「不留存」「鉴权」需纳入主方案第六章《权限与安全设计》一并管理。</w:t>
      </w:r>
    </w:p>
    <w:p>
      <w:pPr>
        <w:pStyle w:val="Heading2"/>
      </w:pPr>
      <w:r>
        <w:t xml:space="preserve">9.2 已确认的关键决策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决策点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结论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图表 / 流程图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不在本服务转码；标记 chart 块、附图像裁剪，交由（多模态）LLM 描述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公式转码目标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LaTeX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表格转码目标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结构化 JSON（行列 + 表头）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一期识别器范围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文本 + 表格 + 公式 + 代码；符号识别器放二期</w:t>
            </w:r>
          </w:p>
        </w:tc>
      </w:tr>
    </w:tbl>
    <w:p>
      <w:pPr>
        <w:spacing w:before="400"/>
      </w:pPr>
      <w:r>
        <w:rPr>
          <w:i/>
          <w:iCs/>
          <w:color w:val="808080"/>
        </w:rPr>
        <w:t xml:space="preserve">—— 文档结束 ——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DeskPet — 非 LLM 视觉服务 框架设计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icrosoft YaHei" w:cs="Microsoft YaHei" w:eastAsia="Microsoft YaHei" w:hAnsi="Microsoft YaHei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icrosoft YaHei" w:cs="Microsoft YaHei" w:eastAsia="Microsoft YaHei" w:hAnsi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Microsoft YaHei" w:cs="Microsoft YaHei" w:eastAsia="Microsoft YaHei" w:hAnsi="Microsoft YaHe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2026-05-15T06:12:43.611Z</dcterms:created>
  <dcterms:modified xsi:type="dcterms:W3CDTF">2026-05-15T06:12:43.611Z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