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1.png" ContentType="image/png"/>
  <Override PartName="/word/media/rId36.png" ContentType="image/png"/>
  <Override PartName="/word/media/rId34.png" ContentType="image/png"/>
  <Override PartName="/word/media/rId38.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05</w:t>
      </w:r>
      <w:r>
        <w:t xml:space="preserve"> </w:t>
      </w:r>
      <w:r>
        <w:t xml:space="preserve">October,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are integral to ecological analyses. First, they provide an opportunity to study ecological and evolutionary interactions between communities and abiotic environments at time scales ranging from subdecadal to millennial or longer. Second, they allow us to study ecological processes that occur infrequently, such as megadroughts, hurricanes, rapid climate change and volcanic eruptions. Third, we can use the past to understand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4">
        <w:hyperlink r:id="rId23">
          <w:r>
            <w:rPr>
              <w:rStyle w:val="Link"/>
              <w:rStyle w:val="Link"/>
            </w:rPr>
            <w:t xml:space="preserve">http://www.neotomadb.org</w:t>
          </w:r>
        </w:hyperlink>
      </w:hyperlink>
      <w:r>
        <w:t xml:space="preserve">). The Neotoma Database is a public-domain searchable repository for multiproxy paleoecological records spanning the past 5 million years and multiple taxonomic groups. It provides the cyberinfrastructure to study the spatiotemporal dynamics of species and community distributions from the Pliocene to the present.</w:t>
      </w:r>
      <w:r>
        <w:t xml:space="preserve"> </w:t>
      </w:r>
      <w:r>
        <w:rPr>
          <w:rStyle w:val="VerbatimChar"/>
        </w:rPr>
        <w:t xml:space="preserve">neotoma</w:t>
      </w:r>
      <w:r>
        <w:t xml:space="preserve"> </w:t>
      </w:r>
      <w:r>
        <w:t xml:space="preserve">provides a user interface to enable this study. The package searches the Neotoma Database for datasets using search keys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rebuilding of age models, metadata for the dataset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To assist with the use of the neotoma package we provide examples of key functions based on the published literature, for both plant and mammal taxa.</w:t>
      </w:r>
    </w:p>
    <w:bookmarkStart w:id="25" w:name="introduction"/>
    <w:p>
      <w:pPr>
        <w:pStyle w:val="Heading2"/>
      </w:pPr>
      <w:r>
        <w:t xml:space="preserve">Introduction</w:t>
      </w:r>
    </w:p>
    <w:bookmarkEnd w:id="25"/>
    <w:p>
      <w:r>
        <w:t xml:space="preserve">Paleoecological data are fundamental to understanding the patterns and drivers of biogeographical, climatic, and evolutionary change, ranging from the recent past to the dawn of life. Although individual site-level studies have provided fundamental insights into past ecological dynamics, the true power of paleoecological data emerges from networks of paleoecological data assembled to study broad-scale ecological and evolutionary phenomena, e.g. the responses of speciation rates to the five major extinction events in geological history [peters2001biodiversity; raup1984periodicity; sepkoski1997biodiversity] and the rapid and individualistic responses of species to the climate changes accompanying recent glacial-interglacial cycles</w:t>
      </w:r>
      <w:r>
        <w:t xml:space="preserve"> </w:t>
      </w:r>
      <w:r>
        <w:t xml:space="preserve">(Davis 1981; Schroeder et al. 1996; Huntley &amp; Webb 1988; Tzedakis 1994;</w:t>
      </w:r>
      <w:r>
        <w:t xml:space="preserve"> </w:t>
      </w:r>
      <w:r>
        <w:rPr>
          <w:b/>
        </w:rPr>
        <w:t xml:space="preserve">???</w:t>
      </w:r>
      <w:r>
        <w:t xml:space="preserve">)</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(Blois et al. 2013; Blarquez, Carcaillet, et al. 2014)</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(Fritz et al. 2013; Behrensmeyer &amp; Miller 2012; Dietl &amp; Flessa 2011)</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with distributed scientific governance and expertise, but sharing a common database infrastructure. Constituent databases include, among others, the large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Application Programming Interfaces that allow users to query the database via web services, which return data using properly formed URL requests. For example, the URL:</w:t>
      </w:r>
      <w:r>
        <w:t xml:space="preserve"> </w:t>
      </w:r>
      <w:hyperlink r:id="rId24">
        <w:hyperlink r:id="rId26">
          <w:r>
            <w:rPr>
              <w:rStyle w:val="Link"/>
              <w:rStyle w:val="Link"/>
            </w:rPr>
            <w:t xml:space="preserve">http://api.neotomadb.org/v1/apps/geochronologies/?datasetid=8</w:t>
          </w:r>
        </w:hyperlink>
      </w:hyperlink>
      <w:r>
        <w:t xml:space="preserve"> </w:t>
      </w:r>
      <w:r>
        <w:t xml:space="preserve">will return all geochronological data for the record associated with the queried dataset ID (here, Dataset ID = 8).</w:t>
      </w:r>
    </w:p>
    <w:p>
      <w:r>
        <w:t xml:space="preserve">The analysis of paleoecological data is commonly performed using the statistical software R</w:t>
      </w:r>
      <w:r>
        <w:t xml:space="preserve"> </w:t>
      </w:r>
      <w:r>
        <w:t xml:space="preserve">(R Core Team 2014)</w:t>
      </w:r>
      <w:r>
        <w:t xml:space="preserve">, and several paleoecological packages in R packages are designed specifically for paleoecological dataexist, for analysis including</w:t>
      </w:r>
      <w:r>
        <w:t xml:space="preserve"> </w:t>
      </w:r>
      <w:r>
        <w:rPr>
          <w:rStyle w:val="VerbatimChar"/>
        </w:rPr>
        <w:t xml:space="preserve">analogue</w:t>
      </w:r>
      <w:r>
        <w:t xml:space="preserve"> </w:t>
      </w:r>
      <w:r>
        <w:t xml:space="preserve">(Simpson &amp; Oksanen 2014;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 J. R. Marlon, et al. 2014)</w:t>
      </w:r>
      <w:r>
        <w:t xml:space="preserve">. Given the rapid proliferation and availability of these analytical tools in R, the rate-limiting step has become the difficulty of obtaining and importing data into R. This bottleneck has meant reliance on datasets such as those from the NOAA Paleoclimate Repository or the North American Modern Pollen Database,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to provide ecological publications that include numerically reproducible results</w:t>
      </w:r>
      <w:r>
        <w:t xml:space="preserve"> </w:t>
      </w:r>
      <w:r>
        <w:t xml:space="preserve">(Goring et al. 2013; Goring et al. 2012; Wolkovich et al. 2012; Reichman et al. 2011)</w:t>
      </w:r>
      <w:r>
        <w:t xml:space="preserve"> </w:t>
      </w:r>
      <w:r>
        <w:t xml:space="preserve">it is important to provide tools that allow analysts to directly access dynamic datasets, and to provide tools to support reproducible workflows. The rOpenSci project is dedicated to developing tools using R to facilitate a culture shift toward reproducible science in the ecology comunity. As part of this effort, it has provided a number of tools that can directly interact with application programmatic interfaces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w:t>
      </w:r>
      <w:r>
        <w:t xml:space="preserve"> </w:t>
      </w:r>
      <w:r>
        <w:rPr>
          <w:rStyle w:val="VerbatimChar"/>
        </w:rPr>
        <w:t xml:space="preserve">neotoma</w:t>
      </w:r>
      <w:r>
        <w:t xml:space="preserve"> </w:t>
      </w:r>
      <w:r>
        <w:t xml:space="preserve">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27" w:name="the-neotoma-package"/>
    <w:p>
      <w:pPr>
        <w:pStyle w:val="Heading2"/>
      </w:pPr>
      <w:r>
        <w:t xml:space="preserve">The</w:t>
      </w:r>
      <w:r>
        <w:t xml:space="preserve"> </w:t>
      </w:r>
      <w:r>
        <w:rPr>
          <w:rStyle w:val="VerbatimChar"/>
        </w:rPr>
        <w:t xml:space="preserve">neotoma</w:t>
      </w:r>
      <w:r>
        <w:t xml:space="preserve"> </w:t>
      </w:r>
      <w:r>
        <w:t xml:space="preserve">package</w:t>
      </w:r>
    </w:p>
    <w:bookmarkEnd w:id="27"/>
    <w:p>
      <w:r>
        <w:rPr>
          <w:rStyle w:val="VerbatimChar"/>
        </w:rPr>
        <w:t xml:space="preserve">neotoma</w:t>
      </w:r>
      <w:r>
        <w:t xml:space="preserve"> </w:t>
      </w:r>
      <w:r>
        <w:t xml:space="preserve">R package is an interface between the Neotoma Paleoecological Database (</w:t>
      </w:r>
      <w:hyperlink r:id="rId24">
        <w:hyperlink r:id="rId28">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can interact with existing packages such as</w:t>
      </w:r>
      <w:r>
        <w:t xml:space="preserve"> </w:t>
      </w:r>
      <w:r>
        <w:rPr>
          <w:rStyle w:val="VerbatimChar"/>
        </w:rPr>
        <w:t xml:space="preserve">analogue</w:t>
      </w:r>
      <w:r>
        <w:t xml:space="preserve"> </w:t>
      </w:r>
      <w:r>
        <w:t xml:space="preserve">(Simpson &amp;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commonly accepted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misc/object_diagram.png" id="0" name="Picture"/>
                    <pic:cNvPicPr>
                      <a:picLocks noChangeArrowheads="1" noChangeAspect="1"/>
                    </pic:cNvPicPr>
                  </pic:nvPicPr>
                  <pic:blipFill>
                    <a:blip r:embed="rId29"/>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functions. The classes described below have a heavier outline than their associated variables.</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w:t>
      </w:r>
    </w:p>
    <w:p>
      <w:r>
        <w:t xml:space="preserve">Each row of the object returned by</w:t>
      </w:r>
      <w:r>
        <w:t xml:space="preserve"> </w:t>
      </w:r>
      <w:r>
        <w:rPr>
          <w:rStyle w:val="VerbatimChar"/>
        </w:rPr>
        <w:t xml:space="preserve">get_site</w:t>
      </w:r>
      <w:r>
        <w:t xml:space="preserve"> </w:t>
      </w:r>
      <w:r>
        <w:t xml:space="preserve">represents a unique site, and provides enough descriptive data to plot site locations and understand the spatial extent of a site. Using the class assignment</w:t>
      </w:r>
      <w:r>
        <w:t xml:space="preserve"> </w:t>
      </w:r>
      <w:r>
        <w:rPr>
          <w:rStyle w:val="VerbatimChar"/>
        </w:rPr>
        <w:t xml:space="preserve">"site"</w:t>
      </w:r>
      <w:r>
        <w:t xml:space="preserve"> </w:t>
      </w:r>
      <w:r>
        <w:t xml:space="preserve">allows objects returned by</w:t>
      </w:r>
      <w:r>
        <w:t xml:space="preserve"> </w:t>
      </w:r>
      <w:r>
        <w:rPr>
          <w:rStyle w:val="VerbatimChar"/>
        </w:rPr>
        <w:t xml:space="preserve">get_site()</w:t>
      </w:r>
      <w:r>
        <w:t xml:space="preserve"> </w:t>
      </w:r>
      <w:r>
        <w:t xml:space="preserve">to be recognized by other functions, so that site information can easily be used to obtain datasets or whole data downloads. Sites, conceptually, are containers for datasets. Generally it's better to search for a neotoma dataset.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 however at this time</w:t>
      </w:r>
      <w:r>
        <w:t xml:space="preserve"> </w:t>
      </w:r>
      <w:r>
        <w:rPr>
          <w:rStyle w:val="VerbatimChar"/>
        </w:rPr>
        <w:t xml:space="preserve">get_site()</w:t>
      </w:r>
      <w:r>
        <w:t xml:space="preserve"> </w:t>
      </w:r>
      <w:r>
        <w:t xml:space="preserve">is the only method by which you can search by site name.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to search for and retrieve datasets stored in the Neotoma Database.</w:t>
      </w:r>
      <w:r>
        <w:t xml:space="preserve"> </w:t>
      </w:r>
      <w:r>
        <w:rPr>
          <w:rStyle w:val="VerbatimChar"/>
        </w:rPr>
        <w:t xml:space="preserve">"dataset"</w:t>
      </w:r>
      <w:r>
        <w:t xml:space="preserve">s associated with individual sites can be obtained using the</w:t>
      </w:r>
      <w:r>
        <w:t xml:space="preserve"> </w:t>
      </w:r>
      <w:r>
        <w:rPr>
          <w:rStyle w:val="VerbatimChar"/>
        </w:rPr>
        <w:t xml:space="preserve">get_dataset()</w:t>
      </w:r>
      <w:r>
        <w:t xml:space="preserve"> </w:t>
      </w:r>
      <w:r>
        <w:t xml:space="preserve">method. In the Neotoma Database, a</w:t>
      </w:r>
      <w:r>
        <w:t xml:space="preserve"> </w:t>
      </w:r>
      <w:r>
        <w:rPr>
          <w:rStyle w:val="VerbatimChar"/>
        </w:rPr>
        <w:t xml:space="preserve">"dataset"</w:t>
      </w:r>
      <w:r>
        <w:t xml:space="preserve"> </w:t>
      </w:r>
      <w:r>
        <w:t xml:space="preserve">is a set of samples of the same type from a single collection unit within a site. Examples of datasets in Neotoma include 1) all the pollen counts from a single core from a lake, 2) all the geochronological measurments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along with metadata for the particular</w:t>
      </w:r>
      <w:r>
        <w:t xml:space="preserve"> </w:t>
      </w:r>
      <w:r>
        <w:rPr>
          <w:rStyle w:val="VerbatimChar"/>
        </w:rPr>
        <w:t xml:space="preserve">"dataset"</w:t>
      </w:r>
      <w:r>
        <w:t xml:space="preserve"> </w:t>
      </w:r>
      <w:r>
        <w:t xml:space="preserve">(</w:t>
      </w:r>
      <w:r>
        <w:rPr>
          <w:rStyle w:val="VerbatimChar"/>
        </w:rPr>
        <w:t xml:space="preserve">"dataset.meta"</w:t>
      </w:r>
      <w:r>
        <w:t xml:space="preserve"> </w:t>
      </w:r>
      <w:r>
        <w:t xml:space="preserve">in Figure 1), including the data type, the principal investigator, the submission date to Neotoma, and the date that the information was accessed from the Neotoma API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that contains objects of class</w:t>
      </w:r>
      <w:r>
        <w:t xml:space="preserve"> </w:t>
      </w:r>
      <w:r>
        <w:rPr>
          <w:rStyle w:val="VerbatimChar"/>
        </w:rPr>
        <w:t xml:space="preserve">"download"</w:t>
      </w:r>
      <w:r>
        <w:t xml:space="preserve">. Both are</w:t>
      </w:r>
      <w:r>
        <w:t xml:space="preserve"> </w:t>
      </w:r>
      <w:r>
        <w:rPr>
          <w:rStyle w:val="VerbatimChar"/>
        </w:rPr>
        <w:t xml:space="preserve">list</w:t>
      </w:r>
      <w:r>
        <w:t xml:space="preserve">s, but the</w:t>
      </w:r>
      <w:r>
        <w:t xml:space="preserve"> </w:t>
      </w:r>
      <w:r>
        <w:rPr>
          <w:rStyle w:val="VerbatimChar"/>
        </w:rPr>
        <w:t xml:space="preserve">"download_list"</w:t>
      </w:r>
      <w:r>
        <w:t xml:space="preserve"> </w:t>
      </w:r>
      <w:r>
        <w:t xml:space="preserve">is of a length equal to the number of records returned, while the</w:t>
      </w:r>
      <w:r>
        <w:t xml:space="preserve"> </w:t>
      </w:r>
      <w:r>
        <w:rPr>
          <w:rStyle w:val="VerbatimChar"/>
        </w:rPr>
        <w:t xml:space="preserve">"download"</w:t>
      </w:r>
      <w:r>
        <w:t xml:space="preserve"> </w:t>
      </w:r>
      <w:r>
        <w:t xml:space="preserve">contains a fixed number of objects (Figure 1). In most cases</w:t>
      </w:r>
      <w:r>
        <w:t xml:space="preserve"> </w:t>
      </w:r>
      <w:r>
        <w:rPr>
          <w:rStyle w:val="VerbatimChar"/>
        </w:rPr>
        <w:t xml:space="preserve">get_download()</w:t>
      </w:r>
      <w:r>
        <w:t xml:space="preserve"> </w:t>
      </w:r>
      <w:r>
        <w:t xml:space="preserve">will return a confirmation for each individual API call as the function proceeds. This can be turned off using the argument</w:t>
      </w:r>
      <w:r>
        <w:t xml:space="preserve"> </w:t>
      </w:r>
      <w:r>
        <w:rPr>
          <w:rStyle w:val="VerbatimChar"/>
        </w:rPr>
        <w:t xml:space="preserve">verbose = FALSE</w:t>
      </w:r>
      <w:r>
        <w:t xml:space="preserve">. The</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information (which itself has</w:t>
      </w:r>
      <w:r>
        <w:t xml:space="preserve"> </w:t>
      </w:r>
      <w:r>
        <w:rPr>
          <w:rStyle w:val="VerbatimChar"/>
        </w:rPr>
        <w:t xml:space="preserve">"site"</w:t>
      </w:r>
      <w:r>
        <w:t xml:space="preserve"> </w:t>
      </w:r>
      <w:r>
        <w:t xml:space="preserve">information), but it also contains the full data object for the dataset it references (Figure 1).</w:t>
      </w:r>
    </w:p>
    <w:p>
      <w:r>
        <w:t xml:space="preserve">Both the</w:t>
      </w:r>
      <w:r>
        <w:t xml:space="preserve"> </w:t>
      </w:r>
      <w:r>
        <w:rPr>
          <w:rStyle w:val="VerbatimChar"/>
        </w:rPr>
        <w:t xml:space="preserve">get_download()</w:t>
      </w:r>
      <w:r>
        <w:t xml:space="preserve"> </w:t>
      </w:r>
      <w:r>
        <w:t xml:space="preserve">and</w:t>
      </w:r>
      <w:r>
        <w:t xml:space="preserve"> </w:t>
      </w:r>
      <w:r>
        <w:rPr>
          <w:rStyle w:val="VerbatimChar"/>
        </w:rPr>
        <w:t xml:space="preserve">get_dataset()</w:t>
      </w:r>
      <w:r>
        <w:t xml:space="preserve"> </w:t>
      </w:r>
      <w:r>
        <w:t xml:space="preserve">functions record the date and time the API was accessed. There is also a special</w:t>
      </w:r>
      <w:r>
        <w:t xml:space="preserve"> </w:t>
      </w:r>
      <w:r>
        <w:rPr>
          <w:rStyle w:val="VerbatimChar"/>
        </w:rPr>
        <w:t xml:space="preserve">print()</w:t>
      </w:r>
      <w:r>
        <w:t xml:space="preserve"> </w:t>
      </w:r>
      <w:r>
        <w:t xml:space="preserve">function for</w:t>
      </w:r>
      <w:r>
        <w:t xml:space="preserve"> </w:t>
      </w:r>
      <w:r>
        <w:rPr>
          <w:rStyle w:val="VerbatimChar"/>
        </w:rPr>
        <w:t xml:space="preserve">"download"</w:t>
      </w:r>
      <w:r>
        <w:t xml:space="preserve">s and</w:t>
      </w:r>
      <w:r>
        <w:t xml:space="preserve"> </w:t>
      </w:r>
      <w:r>
        <w:rPr>
          <w:rStyle w:val="VerbatimChar"/>
        </w:rPr>
        <w:t xml:space="preserve">"download_list"</w:t>
      </w:r>
      <w:r>
        <w:t xml:space="preserve">s because of the large size of most objects to limit output size, however,</w:t>
      </w:r>
      <w:r>
        <w:t xml:space="preserve"> </w:t>
      </w:r>
      <w:r>
        <w:rPr>
          <w:rStyle w:val="VerbatimChar"/>
        </w:rPr>
        <w:t xml:space="preserve">"download"</w:t>
      </w:r>
      <w:r>
        <w:t xml:space="preserve">s and</w:t>
      </w:r>
      <w:r>
        <w:t xml:space="preserve"> </w:t>
      </w:r>
      <w:r>
        <w:rPr>
          <w:rStyle w:val="VerbatimChar"/>
        </w:rPr>
        <w:t xml:space="preserve">"download_list"</w:t>
      </w:r>
      <w:r>
        <w:t xml:space="preserve">s remain</w:t>
      </w:r>
      <w:r>
        <w:t xml:space="preserve"> </w:t>
      </w:r>
      <w:r>
        <w:rPr>
          <w:rStyle w:val="VerbatimChar"/>
        </w:rPr>
        <w:t xml:space="preserve">list</w:t>
      </w:r>
      <w:r>
        <w:t xml:space="preserve">s and can be manipulated as such in R.</w:t>
      </w:r>
    </w:p>
    <w:p>
      <w:r>
        <w:t xml:space="preserve">The</w:t>
      </w:r>
      <w:r>
        <w:t xml:space="preserve"> </w:t>
      </w:r>
      <w:r>
        <w:rPr>
          <w:rStyle w:val="VerbatimChar"/>
        </w:rPr>
        <w:t xml:space="preserve">"metadata"</w:t>
      </w:r>
      <w:r>
        <w:t xml:space="preserve"> </w:t>
      </w:r>
      <w:r>
        <w:t xml:space="preserve">component is equivalent to a</w:t>
      </w:r>
      <w:r>
        <w:t xml:space="preserve"> </w:t>
      </w:r>
      <w:r>
        <w:rPr>
          <w:rStyle w:val="VerbatimChar"/>
        </w:rPr>
        <w:t xml:space="preserve">"dataset"</w:t>
      </w:r>
      <w:r>
        <w:t xml:space="preserve"> </w:t>
      </w:r>
      <w:r>
        <w:t xml:space="preserve">returned by</w:t>
      </w:r>
      <w:r>
        <w:t xml:space="preserve"> </w:t>
      </w:r>
      <w:r>
        <w:rPr>
          <w:rStyle w:val="VerbatimChar"/>
        </w:rPr>
        <w:t xml:space="preserve">get_dataset()</w:t>
      </w:r>
      <w:r>
        <w:t xml:space="preserve">.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w:t>
      </w:r>
      <w:r>
        <w:t xml:space="preserve">and is always the first chronology. To build a new chronology with the same chronological controls as an existing chronology, but with a different algorithim, use</w:t>
      </w:r>
      <w:r>
        <w:t xml:space="preserve"> </w:t>
      </w:r>
      <w:r>
        <w:rPr>
          <w:rStyle w:val="VerbatimChar"/>
        </w:rPr>
        <w:t xml:space="preserve">get_chroncontrol()</w:t>
      </w:r>
      <w:r>
        <w:t xml:space="preserve"> </w:t>
      </w:r>
      <w:r>
        <w:t xml:space="preserve">to return the chronology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Moroever, these default age models that are in calibrated radiocarbon years utilize radiocarbon dates that are calibrated a priori. Bayesian age modeling programs, such as Bacon</w:t>
      </w:r>
      <w:r>
        <w:t xml:space="preserve"> </w:t>
      </w:r>
      <w:r>
        <w:t xml:space="preserve">(Blaauw &amp; Christen 2011)</w:t>
      </w:r>
      <w:r>
        <w:t xml:space="preserve">, which provides estimates of uncertainty, as well as the classical age modeling program 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The age controls of existing default radiocarbon-year chronologies may sometimes be appropriate for programs such as Bacon and clam; however, many of these chronologies rejected radiocarbon dates</w:t>
      </w:r>
      <w:r>
        <w:t xml:space="preserve"> </w:t>
      </w:r>
      <w:r>
        <w:rPr>
          <w:i/>
        </w:rPr>
        <w:t xml:space="preserve">a priori</w:t>
      </w:r>
      <w:r>
        <w:t xml:space="preserve">, which may not be appropriate for programs such as Bacon. The</w:t>
      </w:r>
      <w:r>
        <w:t xml:space="preserve"> </w:t>
      </w:r>
      <w:r>
        <w:rPr>
          <w:rStyle w:val="VerbatimChar"/>
        </w:rPr>
        <w:t xml:space="preserve">neotoma</w:t>
      </w:r>
      <w:r>
        <w:t xml:space="preserve"> </w:t>
      </w:r>
      <w:r>
        <w:t xml:space="preserve">package has a function to interface directly with Bacon or clam,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30"/>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1" w:name="examples"/>
    <w:p>
      <w:pPr>
        <w:pStyle w:val="Heading2"/>
      </w:pPr>
      <w:r>
        <w:t xml:space="preserve">Examples</w:t>
      </w:r>
    </w:p>
    <w:bookmarkEnd w:id="31"/>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worklfow. We beging with a simple example in which we compare change in Alnus between two sites, followed by two more involved examples where we look at Pine migration and mammal distributions.</w:t>
      </w:r>
    </w:p>
    <w:bookmarkStart w:id="32" w:name="a-simple-example"/>
    <w:p>
      <w:pPr>
        <w:pStyle w:val="Heading3"/>
      </w:pPr>
      <w:r>
        <w:t xml:space="preserve">A simple example</w:t>
      </w:r>
    </w:p>
    <w:bookmarkEnd w:id="32"/>
    <w:p>
      <w:r>
        <w:t xml:space="preserve">A researcher is interested in finding the pollen record for Marion Lake, in British Columbia</w:t>
      </w:r>
      <w:r>
        <w:t xml:space="preserve"> </w:t>
      </w:r>
      <w:r>
        <w:t xml:space="preserve">(Mathewes 1973)</w:t>
      </w:r>
      <w:r>
        <w:t xml:space="preserve"> </w:t>
      </w:r>
      <w:r>
        <w:t xml:space="preserve">and comparing the change in Alnus pollen to pollen from Louise Pond</w:t>
      </w:r>
      <w:r>
        <w:t xml:space="preserve"> </w:t>
      </w:r>
      <w:r>
        <w:t xml:space="preserve">(Pellatt &amp; Mathewes 1997)</w:t>
      </w:r>
      <w:r>
        <w:t xml:space="preserve"> </w:t>
      </w:r>
      <w:r>
        <w:t xml:space="preserve">on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1618 -131.8 53.42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an object of class</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 the</w:t>
      </w:r>
      <w:r>
        <w:t xml:space="preserve"> </w:t>
      </w:r>
      <w:r>
        <w:rPr>
          <w:rStyle w:val="VerbatimChar"/>
        </w:rPr>
        <w:t xml:space="preserve">"dataset"</w:t>
      </w:r>
      <w:r>
        <w:t xml:space="preserve"> </w:t>
      </w:r>
      <w:r>
        <w:t xml:space="preserve">for these records we can simplify the workflow by</w:t>
      </w:r>
      <w:r>
        <w:t xml:space="preserve"> </w:t>
      </w:r>
      <w:r>
        <w:rPr>
          <w:rStyle w:val="VerbatimChar"/>
        </w:rPr>
        <w:t xml:space="preserve">rbind()</w:t>
      </w:r>
      <w:r>
        <w:t xml:space="preserve">ing the two site records, and then using</w:t>
      </w:r>
      <w:r>
        <w:t xml:space="preserve"> </w:t>
      </w:r>
      <w:r>
        <w:rPr>
          <w:rStyle w:val="VerbatimChar"/>
        </w:rPr>
        <w:t xml:space="preserve">get_dataset()</w:t>
      </w:r>
      <w:r>
        <w:t xml:space="preserve"> </w:t>
      </w:r>
      <w:r>
        <w:t xml:space="preserve">directly (Figure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single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w:t>
      </w:r>
      <w:r>
        <w:t xml:space="preserve"> </w:t>
      </w:r>
      <w:r>
        <w:rPr>
          <w:rStyle w:val="VerbatimChar"/>
        </w:rPr>
        <w:t xml:space="preserve">neotoma</w:t>
      </w:r>
      <w:r>
        <w:t xml:space="preserve"> </w:t>
      </w:r>
      <w:r>
        <w:t xml:space="preserve">also has a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2 objects:</w:t>
      </w:r>
      <w:r>
        <w:br w:type="textWrapping"/>
      </w:r>
      <w:r>
        <w:rPr>
          <w:rStyle w:val="VerbatimChar"/>
        </w:rPr>
        <w:t xml:space="preserve">  Accessed from 2014-10-05 15:09h to 2014-10-05 15:09h. </w:t>
      </w:r>
      <w:r>
        <w:br w:type="textWrapping"/>
      </w:r>
      <w:r>
        <w:rPr>
          <w:rStyle w:val="VerbatimChar"/>
        </w:rPr>
        <w:t xml:space="preserve">  Datasets:</w:t>
      </w:r>
      <w:r>
        <w:br w:type="textWrapping"/>
      </w:r>
      <w:r>
        <w:rPr>
          <w:rStyle w:val="VerbatimChar"/>
        </w:rPr>
        <w:t xml:space="preserve">   dataset.id                         site.name   long   lat   type</w:t>
      </w:r>
      <w:r>
        <w:br w:type="textWrapping"/>
      </w:r>
      <w:r>
        <w:rPr>
          <w:rStyle w:val="VerbatimChar"/>
        </w:rPr>
        <w:t xml:space="preserve">         1705 Marion Lake (CA:British Columbia) -122.5 49.31 pollen</w:t>
      </w:r>
      <w:r>
        <w:br w:type="textWrapping"/>
      </w:r>
      <w:r>
        <w:rPr>
          <w:rStyle w:val="VerbatimChar"/>
        </w:rPr>
        <w:t xml:space="preserve">         1670 Louise Pond                       -131.8 53.42 pollen</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2014-10-05 15:09h. </w:t>
      </w:r>
      <w:r>
        <w:br w:type="textWrapping"/>
      </w:r>
      <w:r>
        <w:rPr>
          <w:rStyle w:val="VerbatimChar"/>
        </w:rPr>
        <w:t xml:space="preserve">   dataset.id                         site.name   long   lat   type</w:t>
      </w:r>
      <w:r>
        <w:br w:type="textWrapping"/>
      </w:r>
      <w:r>
        <w:rPr>
          <w:rStyle w:val="VerbatimChar"/>
        </w:rPr>
        <w:t xml:space="preserve">         1705 Marion Lake (CA:British Columbia) -122.5 49.31 pollen</w:t>
      </w:r>
    </w:p>
    <w:p>
      <w:r>
        <w:rPr>
          <w:rStyle w:val="VerbatimChar"/>
        </w:rPr>
        <w:t xml:space="preserve">get_download()</w:t>
      </w:r>
      <w:r>
        <w:t xml:space="preserve"> </w:t>
      </w:r>
      <w:r>
        <w:t xml:space="preserve">obtains taxon identifications (</w:t>
      </w:r>
      <w:r>
        <w:rPr>
          <w:rStyle w:val="VerbatimChar"/>
        </w:rPr>
        <w:t xml:space="preserve">"taxon.list"</w:t>
      </w:r>
      <w:r>
        <w:t xml:space="preserve">), lab data (</w:t>
      </w:r>
      <w:r>
        <w:rPr>
          <w:rStyle w:val="VerbatimChar"/>
        </w:rPr>
        <w:t xml:space="preserve">"lab.data"</w:t>
      </w:r>
      <w:r>
        <w:t xml:space="preserve">)and counts (</w:t>
      </w:r>
      <w:r>
        <w:rPr>
          <w:rStyle w:val="VerbatimChar"/>
        </w:rPr>
        <w:t xml:space="preserve">"counts"</w:t>
      </w:r>
      <w:r>
        <w:t xml:space="preserve">) for each dataset within each</w:t>
      </w:r>
      <w:r>
        <w:t xml:space="preserve"> </w:t>
      </w:r>
      <w:r>
        <w:rPr>
          <w:rStyle w:val="VerbatimChar"/>
        </w:rPr>
        <w:t xml:space="preserve">"download"</w:t>
      </w:r>
      <w:r>
        <w:t xml:space="preserve">, itself contained within a</w:t>
      </w:r>
      <w:r>
        <w:t xml:space="preserve"> </w:t>
      </w:r>
      <w:r>
        <w:rPr>
          <w:rStyle w:val="VerbatimChar"/>
        </w:rPr>
        <w:t xml:space="preserve">"download_list"</w:t>
      </w:r>
      <w:r>
        <w:t xml:space="preserve"> </w:t>
      </w:r>
      <w:r>
        <w:t xml:space="preserve">(Figure 1):</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r>
        <w:t xml:space="preserve">We now have 2 pollen datasets downloaded, one for Marion Lake and one for Louise Pond. Pollen taxonomy can vary substantially across cores depending on the level taxonomic resolution used by a pollen analyst, or changing taxonomies over time. For example, one analyst might discriminate subgenera of</w:t>
      </w:r>
      <w:r>
        <w:t xml:space="preserve"> </w:t>
      </w:r>
      <w:r>
        <w:rPr>
          <w:i/>
        </w:rPr>
        <w:t xml:space="preserve">Pinus</w:t>
      </w:r>
      <w:r>
        <w:t xml:space="preserve">, while another might simply identify</w:t>
      </w:r>
      <w:r>
        <w:t xml:space="preserve"> </w:t>
      </w:r>
      <w:r>
        <w:rPr>
          <w:i/>
        </w:rPr>
        <w:t xml:space="preserve">Pinus</w:t>
      </w:r>
      <w:r>
        <w:t xml:space="preserve"> </w:t>
      </w:r>
      <w:r>
        <w:t xml:space="preserve">to the genus level. Gramineae is a common pollen type in earlier pollen records; this taxon has now been renamed Poaceae. This variable and shifting taxonomy is a first-order challenge for analysts seeking to analyze the dynamics of taxa across multiple groups. The neotoma package provides several options for standardized taxonomic list, corresponding to three published taxonomies for the United States and Canada</w:t>
      </w:r>
      <w:r>
        <w:t xml:space="preserve"> </w:t>
      </w:r>
      <w:r>
        <w:t xml:space="preserve">(Gavin et al. 2003; Whitmore et al. 2005; Williams &amp; Shuman 2008)</w:t>
      </w:r>
      <w:r>
        <w:t xml:space="preserve">. While this function can be helpful, it should also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 defined table.</w:t>
      </w:r>
    </w:p>
    <w:p>
      <w:r>
        <w:t xml:space="preserve">In this case we are interested in comparing the relative pollen abundances of a single taxon -</w:t>
      </w:r>
      <w:r>
        <w:t xml:space="preserve"> </w:t>
      </w:r>
      <w:r>
        <w:rPr>
          <w:i/>
        </w:rPr>
        <w:t xml:space="preserve">Alnus</w:t>
      </w:r>
      <w:r>
        <w:t xml:space="preserve"> </w:t>
      </w:r>
      <w:r>
        <w:t xml:space="preserve">-- between two sites, so we can compile the pollen data using the most straightforward taxonomy,</w:t>
      </w:r>
      <w:r>
        <w:t xml:space="preserve"> </w:t>
      </w:r>
      <w:r>
        <w:rPr>
          <w:rStyle w:val="VerbatimChar"/>
        </w:rPr>
        <w:t xml:space="preserve">'P25'</w:t>
      </w:r>
      <w:r>
        <w:t xml:space="preserve"> </w:t>
      </w:r>
      <w:r>
        <w:t xml:space="preserve">from Gavin et al. (2003). The first record downloaded is Marion Lake. We can see the</w:t>
      </w:r>
      <w:r>
        <w:t xml:space="preserve"> </w:t>
      </w:r>
      <w:r>
        <w:rPr>
          <w:rStyle w:val="VerbatimChar"/>
        </w:rPr>
        <w:t xml:space="preserve">"download"</w:t>
      </w:r>
      <w:r>
        <w:t xml:space="preserve"> </w:t>
      </w:r>
      <w:r>
        <w:t xml:space="preserve">for Marion Lake the taxon.table 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r>
      <w:tr>
        <w:tc>
          <w:p>
            <w:pPr>
              <w:pStyle w:val="Compact"/>
              <w:jc w:val="left"/>
            </w:pPr>
            <w:r>
              <w:t xml:space="preserve">Unknown (monolete)</w:t>
            </w:r>
          </w:p>
        </w:tc>
        <w:tc>
          <w:p>
            <w:pPr>
              <w:pStyle w:val="Compact"/>
              <w:jc w:val="left"/>
            </w:pPr>
            <w:r>
              <w:t xml:space="preserve">NISP</w:t>
            </w:r>
          </w:p>
        </w:tc>
        <w:tc>
          <w:p>
            <w:pPr>
              <w:pStyle w:val="Compact"/>
              <w:jc w:val="left"/>
            </w:pPr>
            <w:r>
              <w:t xml:space="preserve">spore</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t xml:space="preserve">Salix</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Unidentified palynomorphs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3</w:t>
            </w:r>
          </w:p>
        </w:tc>
        <w:tc>
          <w:p>
            <w:pPr>
              <w:pStyle w:val="Compact"/>
              <w:jc w:val="left"/>
            </w:pPr>
            <w:r>
              <w:t xml:space="preserve">Unknown (monolete)</w:t>
            </w:r>
          </w:p>
        </w:tc>
        <w:tc>
          <w:p>
            <w:pPr>
              <w:pStyle w:val="Compact"/>
              <w:jc w:val="left"/>
            </w:pPr>
            <w:r>
              <w:t xml:space="preserve">Unidentified palynomorphs</w:t>
            </w:r>
          </w:p>
        </w:tc>
        <w:tc>
          <w:p>
            <w:pPr>
              <w:pStyle w:val="Compact"/>
              <w:jc w:val="left"/>
            </w:pPr>
            <w:r>
              <w:t xml:space="preserve">Other</w:t>
            </w:r>
          </w:p>
        </w:tc>
      </w:tr>
      <w:tr>
        <w:tc>
          <w:p>
            <w:pPr>
              <w:pStyle w:val="Compact"/>
              <w:jc w:val="left"/>
            </w:pPr>
            <w:r>
              <w:rPr>
                <w:b/>
              </w:rPr>
              <w:t xml:space="preserve">4</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5</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6</w:t>
            </w:r>
          </w:p>
        </w:tc>
        <w:tc>
          <w:p>
            <w:pPr>
              <w:pStyle w:val="Compact"/>
              <w:jc w:val="left"/>
            </w:pPr>
            <w:r>
              <w:t xml:space="preserve">Salix</w:t>
            </w:r>
          </w:p>
        </w:tc>
        <w:tc>
          <w:p>
            <w:pPr>
              <w:pStyle w:val="Compact"/>
              <w:jc w:val="left"/>
            </w:pPr>
            <w:r>
              <w:t xml:space="preserve">Vascular plants</w:t>
            </w:r>
          </w:p>
        </w:tc>
        <w:tc>
          <w:p>
            <w:pPr>
              <w:pStyle w:val="Compact"/>
              <w:jc w:val="left"/>
            </w:pPr>
            <w:r>
              <w:t xml:space="preserve">Salix</w:t>
            </w:r>
          </w:p>
        </w:tc>
      </w:tr>
    </w:tbl>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listed have been lumped into a single</w:t>
      </w:r>
      <w:r>
        <w:t xml:space="preserve"> </w:t>
      </w:r>
      <w:r>
        <w:rPr>
          <w:i/>
        </w:rPr>
        <w:t xml:space="preserve">Other</w:t>
      </w:r>
      <w:r>
        <w:t xml:space="preserve">. The</w:t>
      </w:r>
      <w:r>
        <w:t xml:space="preserve"> </w:t>
      </w:r>
      <w:r>
        <w:rPr>
          <w:rStyle w:val="VerbatimChar"/>
        </w:rPr>
        <w:t xml:space="preserve">compile_taxa()</w:t>
      </w:r>
      <w:r>
        <w:t xml:space="preserve"> </w:t>
      </w:r>
      <w:r>
        <w:t xml:space="preserve">function can also accept user-defined tables for aggregation if the provided compilations are not acceptable. The</w:t>
      </w:r>
      <w:r>
        <w:t xml:space="preserve"> </w:t>
      </w:r>
      <w:r>
        <w:rPr>
          <w:rStyle w:val="VerbatimChar"/>
        </w:rPr>
        <w:t xml:space="preserve">pollen.equiv</w:t>
      </w:r>
      <w:r>
        <w:t xml:space="preserve"> </w:t>
      </w:r>
      <w:r>
        <w:rPr>
          <w:rStyle w:val="VerbatimChar"/>
        </w:rPr>
        <w:t xml:space="preserve">data.frame</w:t>
      </w:r>
      <w:r>
        <w:t xml:space="preserve"> </w:t>
      </w:r>
      <w:r>
        <w:t xml:space="preserve">acts as a template for these compilation tables.</w:t>
      </w:r>
    </w:p>
    <w:p>
      <w:r>
        <w:t xml:space="preserve">Although not shown, the counts appear to be reasonable, and the synonymy appears to have been applied correctly (although only</w:t>
      </w:r>
      <w:r>
        <w:t xml:space="preserve"> </w:t>
      </w:r>
      <w:r>
        <w:rPr>
          <w:i/>
        </w:rPr>
        <w:t xml:space="preserve">Alnus</w:t>
      </w:r>
      <w:r>
        <w:t xml:space="preserve"> </w:t>
      </w:r>
      <w:r>
        <w:t xml:space="preserve">is of interest).</w:t>
      </w:r>
      <w:r>
        <w:t xml:space="preserve"> </w:t>
      </w:r>
      <w:r>
        <w:rPr>
          <w:rStyle w:val="VerbatimChar"/>
        </w:rPr>
        <w:t xml:space="preserve">counts</w:t>
      </w:r>
      <w:r>
        <w:t xml:space="preserve"> </w:t>
      </w:r>
      <w:r>
        <w:t xml:space="preserve">are converted into percentages to standardize across cores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 </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 </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eotoma_paper_files/figure-docx/alnus-data-plot.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proportions at two sites, one in the lower mainland of British Columbia (Marion Lake) and the other on Haida G'waii (Louise Pond). Axis labels are presented as if the code was run directly, but represent calibrated radiocarbon years before present on the x axis and</w:t>
      </w:r>
      <w:r>
        <w:t xml:space="preserve"> </w:t>
      </w:r>
      <w:r>
        <w:t xml:space="preserve">Alnus</w:t>
      </w:r>
      <w:r>
        <w:t xml:space="preserve"> </w:t>
      </w:r>
      <w:r>
        <w:rPr>
          <w:i/>
        </w:rPr>
        <w:t xml:space="preserve">pollen proportions on the y-axis.</w:t>
      </w:r>
    </w:p>
    <w:p>
      <w:r>
        <w:t xml:space="preserve">In this example we see that 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at any one site, again, using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Marion Lake: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Plotted using the Stratiplot function in 'analogue', very naive plotting</w:t>
      </w:r>
      <w:r>
        <w:br w:type="textWrapping"/>
      </w:r>
      <w:r>
        <w:rPr>
          <w:rStyle w:val="CommentTok"/>
        </w:rPr>
        <w:t xml:space="preserve"># for demonstration.</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drawing>
          <wp:inline>
            <wp:extent cx="5537200" cy="2768600"/>
            <wp:effectExtent b="0" l="0" r="0" t="0"/>
            <wp:docPr descr="" id="1" name="Picture"/>
            <a:graphic>
              <a:graphicData uri="http://schemas.openxmlformats.org/drawingml/2006/picture">
                <pic:pic>
                  <pic:nvPicPr>
                    <pic:cNvPr descr="./Neotoma_paper_files/figure-docx/marion-plot.png" id="0" name="Picture"/>
                    <pic:cNvPicPr>
                      <a:picLocks noChangeArrowheads="1" noChangeAspect="1"/>
                    </pic:cNvPicPr>
                  </pic:nvPicPr>
                  <pic:blipFill>
                    <a:blip r:embed="rId34"/>
                    <a:stretch>
                      <a:fillRect/>
                    </a:stretch>
                  </pic:blipFill>
                  <pic:spPr bwMode="auto">
                    <a:xfrm>
                      <a:off x="0" y="0"/>
                      <a:ext cx="5537200" cy="2768600"/>
                    </a:xfrm>
                    <a:prstGeom prst="rect">
                      <a:avLst/>
                    </a:prstGeom>
                    <a:noFill/>
                    <a:ln w="9525">
                      <a:noFill/>
                      <a:headEnd/>
                      <a:tailEnd/>
                    </a:ln>
                  </pic:spPr>
                </pic:pic>
              </a:graphicData>
            </a:graphic>
          </wp:inline>
        </w:drawing>
      </w:r>
      <w:r>
        <w:t xml:space="preserve"> </w:t>
      </w:r>
      <w:r>
        <w:rPr>
          <w:b/>
        </w:rPr>
        <w:t xml:space="preserve">Figure 4</w:t>
      </w:r>
      <w:r>
        <w:rPr>
          <w:i/>
        </w:rPr>
        <w:t xml:space="preserve">.</w:t>
      </w:r>
      <w:r>
        <w:rPr>
          <w:i/>
        </w:rPr>
        <w:t xml:space="preserve"> </w:t>
      </w:r>
      <w:r>
        <w:t xml:space="preserve">Stratigraphic plot for Marion Lake. Age is plotted on the y-axis in years before present. The</w:t>
      </w:r>
      <w:r>
        <w:t xml:space="preserve"> </w:t>
      </w:r>
      <w:r>
        <w:rPr>
          <w:rStyle w:val="VerbatimChar"/>
        </w:rPr>
        <w:t xml:space="preserve">analogue</w:t>
      </w:r>
      <w:r>
        <w:t xml:space="preserve"> </w:t>
      </w:r>
      <w:r>
        <w:t xml:space="preserve">package provides extensive opportunity to customize the stratigraphic plot beyond this simple example.*</w:t>
      </w:r>
    </w:p>
    <w:bookmarkStart w:id="35" w:name="pinus-migration-following-the-last-glacial-maximum"/>
    <w:p>
      <w:pPr>
        <w:pStyle w:val="Heading3"/>
      </w:pPr>
      <w:r>
        <w:t xml:space="preserve">Pinus migration following the last Glacial Maximum</w:t>
      </w:r>
    </w:p>
    <w:bookmarkEnd w:id="35"/>
    <w:p>
      <w:r>
        <w:t xml:space="preserve">Macdonald and Cwynar</w:t>
      </w:r>
      <w:r>
        <w:t xml:space="preserve"> </w:t>
      </w:r>
      <w:r>
        <w:t xml:space="preserve">(1991)</w:t>
      </w:r>
      <w:r>
        <w:t xml:space="preserve"> </w:t>
      </w:r>
      <w:r>
        <w:t xml:space="preserve">used pollen percentage data for Pinus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their study a cutoff of 15% Pinus pollen was defined as the indicator of presence at sites. Recent work by Strong and Hills</w:t>
      </w:r>
      <w:r>
        <w:t xml:space="preserve"> </w:t>
      </w:r>
      <w:r>
        <w:t xml:space="preserve">(2013)</w:t>
      </w:r>
      <w:r>
        <w:t xml:space="preserve"> </w:t>
      </w:r>
      <w:r>
        <w:t xml:space="preserve">has remapped the migration front using a lower pollen proportion (5%) and more sites. Here, the analysis is partially replicated.</w:t>
      </w:r>
    </w:p>
    <w:p>
      <w:r>
        <w:t xml:space="preserve">To begin, a spatial bounding box delimiting sites and a set of taxa are defined.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this bounding box:</w:t>
      </w:r>
    </w:p>
    <w:p>
      <w:pPr>
        <w:pStyle w:val="SourceCode"/>
      </w:pPr>
      <w:r>
        <w:rPr>
          <w:rStyle w:val="CommentTok"/>
        </w:rPr>
        <w:t xml:space="preserve"># install.packages('ggmap', 'ggplot2', 'reshape2', 'plyr', 'Bchron',</w:t>
      </w:r>
      <w:r>
        <w:br w:type="textWrapping"/>
      </w:r>
      <w:r>
        <w:rPr>
          <w:rStyle w:val="CommentTok"/>
        </w:rPr>
        <w:t xml:space="preserve">#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444 records.</w:t>
      </w:r>
    </w:p>
    <w:p>
      <w:r>
        <w:t xml:space="preserve">The code above returned 444 sites. Note that additional R packages must be installed and loaded for the following examples.</w:t>
      </w:r>
    </w:p>
    <w:p>
      <w:r>
        <w:t xml:space="preserve">The next example will search for all taxa beginning with</w:t>
      </w:r>
      <w:r>
        <w:t xml:space="preserve"> </w:t>
      </w:r>
      <w:r>
        <w:rPr>
          <w:rStyle w:val="VerbatimChar"/>
        </w:rPr>
        <w:t xml:space="preserve">Pinus</w:t>
      </w:r>
      <w:r>
        <w:t xml:space="preserve"> </w:t>
      </w:r>
      <w:r>
        <w:t xml:space="preserve">in a pollen dataset within a bounding box corresponding to the state of Washington, USA and British Columbia and Yukon Territory, Canada. Note that while</w:t>
      </w:r>
      <w:r>
        <w:t xml:space="preserve"> </w:t>
      </w:r>
      <w:r>
        <w:rPr>
          <w:rStyle w:val="VerbatimChar"/>
        </w:rPr>
        <w:t xml:space="preserve">get_site()</w:t>
      </w:r>
      <w:r>
        <w:t xml:space="preserve"> </w:t>
      </w:r>
      <w:r>
        <w:t xml:space="preserve">is similar to</w:t>
      </w:r>
      <w:r>
        <w:t xml:space="preserve"> </w:t>
      </w:r>
      <w:r>
        <w:rPr>
          <w:rStyle w:val="VerbatimChar"/>
        </w:rPr>
        <w:t xml:space="preserve">get_dataset()</w:t>
      </w:r>
      <w:r>
        <w:t xml:space="preser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returns 69 datasets from the original 444 sites. Many of the dropped sites were pollen surface samples, or sites with datasets for other taxonomic groups. Thus, pollen datasets from sedimentary cores comprised less than half of the sites in the Neotoma Database holdings for this region. The distribution of our 69 fossil pollen sites can now be plotted over our original 444.</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eotoma_paper_files/figure-docx/map-pinus-example.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Figure 5</w:t>
      </w:r>
      <w:r>
        <w:t xml:space="preserve"> </w:t>
      </w:r>
      <w:r>
        <w:rPr>
          <w:i/>
        </w:rPr>
        <w:t xml:space="preserve">Mapped sites with pollen cores in the interior of British Columbia and the Yukon Territory of Canada (red), including other Neotoma sites without stratigraphic pollen data (black).</w:t>
      </w:r>
    </w:p>
    <w:p>
      <w:r>
        <w:t xml:space="preserve">The map (Figure 5) shows a number of sites in the interior of British Columbia that have no fossil pollen. For many of these sites, fossil pollen records in fact do exist, and there are other sites not shown here that also have relevant data.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greatly speeding up the process of uploading and vetting data. For example, the Tilia software (</w:t>
      </w:r>
      <w:hyperlink r:id="rId37">
        <w:r>
          <w:rPr>
            <w:rStyle w:val="Link"/>
          </w:rPr>
          <w:t xml:space="preserve">Tilia</w:t>
        </w:r>
      </w:hyperlink>
      <w:r>
        <w:t xml:space="preserve">)has now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each of the 69 sites, the function</w:t>
      </w:r>
      <w:r>
        <w:t xml:space="preserve"> </w:t>
      </w:r>
      <w:r>
        <w:rPr>
          <w:rStyle w:val="VerbatimChar"/>
        </w:rPr>
        <w:t xml:space="preserve">get_download()</w:t>
      </w:r>
      <w:r>
        <w:t xml:space="preserve"> </w:t>
      </w:r>
      <w:r>
        <w:t xml:space="preserve">can immediately recognize the</w:t>
      </w:r>
      <w:r>
        <w:t xml:space="preserve"> </w:t>
      </w:r>
      <w:r>
        <w:rPr>
          <w:rStyle w:val="VerbatimChar"/>
        </w:rPr>
        <w:t xml:space="preserve">"dataset"</w:t>
      </w:r>
      <w:r>
        <w:t xml:space="preserve"> </w:t>
      </w:r>
      <w:r>
        <w:t xml:space="preserve">object and extract the dataset ID to obtain full records from the API:</w:t>
      </w:r>
    </w:p>
    <w:p>
      <w:pPr>
        <w:pStyle w:val="SourceCode"/>
      </w:pPr>
      <w:r>
        <w:rPr>
          <w:rStyle w:val="CommentTok"/>
        </w:rPr>
        <w:t xml:space="preserve"># This step may be time consuming when you run it, particularly if you have</w:t>
      </w:r>
      <w:r>
        <w:br w:type="textWrapping"/>
      </w:r>
      <w:r>
        <w:rPr>
          <w:rStyle w:val="CommentTok"/>
        </w:rPr>
        <w:t xml:space="preserve"># a slow internet connection.</w:t>
      </w:r>
      <w:r>
        <w:br w:type="textWrapping"/>
      </w:r>
      <w:r>
        <w:br w:type="textWrapping"/>
      </w:r>
      <w:r>
        <w:rPr>
          <w:rStyle w:val="CommentTok"/>
        </w:rPr>
        <w:t xml:space="preserve"># if (!file.exists('all.downloads.Rdata')) {</w:t>
      </w:r>
      <w:r>
        <w:br w:type="textWrapping"/>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CommentTok"/>
        </w:rPr>
        <w:t xml:space="preserve"># save(all.downloads, file='all.downloads.Rdata') } else { load(file =</w:t>
      </w:r>
      <w:r>
        <w:br w:type="textWrapping"/>
      </w:r>
      <w:r>
        <w:rPr>
          <w:rStyle w:val="CommentTok"/>
        </w:rPr>
        <w:t xml:space="preserve"># 'all.downloads.Rdata') }</w:t>
      </w:r>
    </w:p>
    <w:p>
      <w:r>
        <w:t xml:space="preserve">For this example only the percentage of</w:t>
      </w:r>
      <w:r>
        <w:t xml:space="preserve"> </w:t>
      </w:r>
      <w:r>
        <w:rPr>
          <w:i/>
        </w:rPr>
        <w:t xml:space="preserve">Pinus</w:t>
      </w:r>
      <w:r>
        <w:t xml:space="preserve"> </w:t>
      </w:r>
      <w:r>
        <w:t xml:space="preserve">in the core, so we can again compile the taxa using the 'P25' taxonomy</w:t>
      </w:r>
      <w:r>
        <w:t xml:space="preserve"> </w:t>
      </w:r>
      <w:r>
        <w:t xml:space="preserve">(Gavin et al. 2003)</w:t>
      </w:r>
      <w:r>
        <w:t xml:space="preserve">.</w:t>
      </w:r>
    </w:p>
    <w:p>
      <w:r>
        <w:t xml:space="preserve">In this case the synonymy (not shown) appears to have been applied correctly. The</w:t>
      </w:r>
      <w:r>
        <w:t xml:space="preserve"> </w:t>
      </w:r>
      <w:r>
        <w:rPr>
          <w:rStyle w:val="VerbatimChar"/>
        </w:rPr>
        <w:t xml:space="preserve">counts</w:t>
      </w:r>
      <w:r>
        <w:t xml:space="preserve"> </w:t>
      </w:r>
      <w:r>
        <w:t xml:space="preserve">are now transformed into percentages to standardize across cores using the</w:t>
      </w:r>
      <w:r>
        <w:t xml:space="preserve"> </w:t>
      </w:r>
      <w:r>
        <w:rPr>
          <w:rStyle w:val="VerbatimChar"/>
        </w:rPr>
        <w:t xml:space="preserve">analogue</w:t>
      </w:r>
      <w:r>
        <w:t xml:space="preserve"> </w:t>
      </w:r>
      <w:r>
        <w:t xml:space="preserve">package's</w:t>
      </w:r>
      <w:r>
        <w:t xml:space="preserve"> </w:t>
      </w:r>
      <w:r>
        <w:rPr>
          <w:rStyle w:val="VerbatimChar"/>
        </w:rPr>
        <w:t xml:space="preserve">tran()</w:t>
      </w:r>
      <w:r>
        <w:t xml:space="preserve"> </w:t>
      </w:r>
      <w:r>
        <w:t xml:space="preserve">function.</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r>
        <w:br w:type="textWrapping"/>
      </w:r>
      <w:r>
        <w:br w:type="textWrapping"/>
      </w: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rPr>
          <w:rStyle w:val="VerbatimChar"/>
        </w:rPr>
        <w:t xml:space="preserve">data.frame</w:t>
      </w:r>
      <w:r>
        <w:t xml:space="preserve"> </w:t>
      </w:r>
      <w:r>
        <w:t xml:space="preserve">have presence over 5% and then find the highest row number since the samples in a dataset are ordered stratigraphically, with the youngest sample in the top row and the oldest sample in the bottom row.</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Cores must span at least 5000 years (and have non NA dates), otherwise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they date the arrival of Pinus too late!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NormalTok"/>
        </w:rPr>
        <w:t xml:space="preserve">&amp;</w:t>
      </w:r>
      <w:r>
        <w:rPr>
          <w:rStyle w:val="StringTok"/>
        </w:rPr>
        <w:t xml:space="preserve"> </w:t>
      </w:r>
      <w:r>
        <w:rPr>
          <w:rStyle w:val="NormalTok"/>
        </w:rPr>
        <w:t xml:space="preserve">old.enough), </w:t>
      </w:r>
      <w:r>
        <w:rPr>
          <w:rStyle w:val="KeywordTok"/>
        </w:rPr>
        <w:t xml:space="preserve">max</w:t>
      </w:r>
      <w:r>
        <w:rPr>
          <w:rStyle w:val="NormalTok"/>
        </w:rPr>
        <w:t xml:space="preserve">(</w:t>
      </w:r>
      <w:r>
        <w:rPr>
          <w:rStyle w:val="KeywordTok"/>
        </w:rPr>
        <w:t xml:space="preserve">which</w:t>
      </w:r>
      <w:r>
        <w:rPr>
          <w:rStyle w:val="NormalTok"/>
        </w:rPr>
        <w:t xml:space="preserve">(x.pct[,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 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 </w:t>
      </w:r>
      <w:r>
        <w:rPr>
          <w:rStyle w:val="DataTypeTok"/>
        </w:rPr>
        <w:t xml:space="preserve">lat =</w:t>
      </w:r>
      <w:r>
        <w:rPr>
          <w:rStyle w:val="NormalTok"/>
        </w:rPr>
        <w:t xml:space="preserve"> </w:t>
      </w:r>
      <w:r>
        <w:rPr>
          <w:rStyle w:val="NormalTok"/>
        </w:rPr>
        <w:t xml:space="preserve">x$dataset$site.data$lat,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Apply the function 'top.pinus' to each core (here we use the plyr function</w:t>
      </w:r>
      <w:r>
        <w:br w:type="textWrapping"/>
      </w:r>
      <w:r>
        <w:rPr>
          <w:rStyle w:val="CommentTok"/>
        </w:rPr>
        <w:t xml:space="preserve"># ldply so we can pass in a list (compiled.cores) and return a data.frame.</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small for some earlier dates, but we use it as an example here: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CommentTok"/>
        </w:rPr>
        <w:t xml:space="preserve"># BChronCalibrate is a function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calibrated contains the full calibration curve for each date, we want the</w:t>
      </w:r>
      <w:r>
        <w:br w:type="textWrapping"/>
      </w:r>
      <w:r>
        <w:rPr>
          <w:rStyle w:val="CommentTok"/>
        </w:rPr>
        <w:t xml:space="preserve"># weighted mean:</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br w:type="textWrapping"/>
      </w:r>
      <w:r>
        <w:rPr>
          <w:rStyle w:val="StringTok"/>
        </w:rPr>
        <w:t xml:space="preserve">    </w:t>
      </w:r>
      <w:r>
        <w:rPr>
          <w:rStyle w:val="NormalTok"/>
        </w:rPr>
        <w:t xml:space="preserve">-</w:t>
      </w:r>
      <w:r>
        <w:rPr>
          <w:rStyle w:val="DecValTok"/>
        </w:rPr>
        <w:t xml:space="preserve">130</w:t>
      </w:r>
      <w:r>
        <w:rPr>
          <w:rStyle w:val="NormalTok"/>
        </w:rPr>
        <w:t xml:space="preserve">)), ]</w:t>
      </w:r>
      <w:r>
        <w:br w:type="textWrapping"/>
      </w:r>
      <w:r>
        <w:br w:type="textWrapping"/>
      </w:r>
      <w:r>
        <w:rPr>
          <w:rStyle w:val="CommentTok"/>
        </w:rPr>
        <w:t xml:space="preserve"># We're using a loess curve here but the curve can be improved by using a</w:t>
      </w:r>
      <w:r>
        <w:br w:type="textWrapping"/>
      </w:r>
      <w:r>
        <w:rPr>
          <w:rStyle w:val="CommentTok"/>
        </w:rPr>
        <w:t xml:space="preserve"># monotone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5537200" cy="2768600"/>
            <wp:effectExtent b="0" l="0" r="0" t="0"/>
            <wp:docPr descr="" id="1" name="Picture"/>
            <a:graphic>
              <a:graphicData uri="http://schemas.openxmlformats.org/drawingml/2006/picture">
                <pic:pic>
                  <pic:nvPicPr>
                    <pic:cNvPr descr="./Neotoma_paper_files/figure-docx/pinus-first-occur.png" id="0" name="Picture"/>
                    <pic:cNvPicPr>
                      <a:picLocks noChangeArrowheads="1" noChangeAspect="1"/>
                    </pic:cNvPicPr>
                  </pic:nvPicPr>
                  <pic:blipFill>
                    <a:blip r:embed="rId38"/>
                    <a:stretch>
                      <a:fillRect/>
                    </a:stretch>
                  </pic:blipFill>
                  <pic:spPr bwMode="auto">
                    <a:xfrm>
                      <a:off x="0" y="0"/>
                      <a:ext cx="5537200" cy="27686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And so we see a clear pattern of migration bThe results show a clear pattern of northward expansion of Pinus in northwestern North America. These results agree broadly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10 - 7kyr as a result of geographic barriers.</w:t>
      </w:r>
    </w:p>
    <w:bookmarkStart w:id="39" w:name="mammal-distributions-in-the-pleistocene"/>
    <w:p>
      <w:pPr>
        <w:pStyle w:val="Heading3"/>
      </w:pPr>
      <w:r>
        <w:t xml:space="preserve">Mammal Distributions in the Pleistocene</w:t>
      </w:r>
    </w:p>
    <w:bookmarkEnd w:id="39"/>
    <w:p>
      <w:r>
        <w:t xml:space="preserve">Graham et al.</w:t>
      </w:r>
      <w:r>
        <w:t xml:space="preserve"> </w:t>
      </w:r>
      <w:r>
        <w:t xml:space="preserve">(1996)</w:t>
      </w:r>
      <w:r>
        <w:t xml:space="preserve"> </w:t>
      </w:r>
      <w:r>
        <w:t xml:space="preserve">built and applied the FAUNMAP dataset (</w:t>
      </w:r>
      <w:hyperlink r:id="rId24">
        <w:hyperlink r:id="rId40">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Their paper shows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in different directions to the climate changes accompanying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"mam.dl.Rdata"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mam.dl &lt;-</w:t>
      </w:r>
      <w:r>
        <w:rPr>
          <w:rStyle w:val="StringTok"/>
        </w:rPr>
        <w:t xml:space="preserve"> </w:t>
      </w:r>
      <w:r>
        <w:rPr>
          <w:rStyle w:val="KeywordTok"/>
        </w:rPr>
        <w:t xml:space="preserve">get_download</w:t>
      </w:r>
      <w:r>
        <w:rPr>
          <w:rStyle w:val="NormalTok"/>
        </w:rPr>
        <w:t xml:space="preserve">(mam.set)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(mam.dl, </w:t>
      </w:r>
      <w:r>
        <w:rPr>
          <w:rStyle w:val="DataTypeTok"/>
        </w:rPr>
        <w:t xml:space="preserve">file =</w:t>
      </w:r>
      <w:r>
        <w:rPr>
          <w:rStyle w:val="NormalTok"/>
        </w:rPr>
        <w:t xml:space="preserve"> </w:t>
      </w:r>
      <w:r>
        <w:rPr>
          <w:rStyle w:val="StringTok"/>
        </w:rPr>
        <w:t xml:space="preserve">"mam.dl.Rdata"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"mam.dl.Rdata"</w:t>
      </w:r>
      <w:r>
        <w:rPr>
          <w:rStyle w:val="NormalTok"/>
        </w:rPr>
        <w:t xml:space="preserve">)</w:t>
      </w:r>
      <w:r>
        <w:br w:type="textWrapping"/>
      </w:r>
      <w:r>
        <w:rPr>
          <w:rStyle w:val="NormalTok"/>
        </w:rPr>
        <w:t xml:space="preserve">}</w:t>
      </w:r>
    </w:p>
    <w:p>
      <w:r>
        <w:t xml:space="preserve">Next, sites are assigned to time-period bins as in Graham et al.</w:t>
      </w:r>
      <w:r>
        <w:t xml:space="preserve"> </w:t>
      </w:r>
      <w:r>
        <w:t xml:space="preserve">(1996)</w:t>
      </w:r>
      <w:r>
        <w:t xml:space="preserve">. For this task, the first step is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datasets, in which most pollen samples are assigned an age and, sometimes, an upper and lower bounding age. Most vertebrate fauna samples, on the other hand, are assigned younger and older bounds, but no estimates of mean or median age. In this example the younger and older bounds are simply averaged. Averaging ages in this way is likely to be methodologically indefensible in the scientific literature, we use it here for illustrative purposes.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The melt and dcast commands are in reshape2</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64300" cy="3695700"/>
            <wp:effectExtent b="0" l="0" r="0" t="0"/>
            <wp:docPr descr="" id="1" name="Picture"/>
            <a:graphic>
              <a:graphicData uri="http://schemas.openxmlformats.org/drawingml/2006/picture">
                <pic:pic>
                  <pic:nvPicPr>
                    <pic:cNvPr descr="./Neotoma_paper_files/figure-docx/mammal-example-plot.png" id="0" name="Picture"/>
                    <pic:cNvPicPr>
                      <a:picLocks noChangeArrowheads="1" noChangeAspect="1"/>
                    </pic:cNvPicPr>
                  </pic:nvPicPr>
                  <pic:blipFill>
                    <a:blip r:embed="rId41"/>
                    <a:stretch>
                      <a:fillRect/>
                    </a:stretch>
                  </pic:blipFill>
                  <pic:spPr bwMode="auto">
                    <a:xfrm>
                      <a:off x="0" y="0"/>
                      <a:ext cx="6464300" cy="3695700"/>
                    </a:xfrm>
                    <a:prstGeom prst="rect">
                      <a:avLst/>
                    </a:prstGeom>
                    <a:noFill/>
                    <a:ln w="9525">
                      <a:noFill/>
                      <a:headEnd/>
                      <a:tailEnd/>
                    </a:ln>
                  </pic:spPr>
                </pic:pic>
              </a:graphicData>
            </a:graphic>
          </wp:inline>
        </w:drawing>
      </w:r>
    </w:p>
    <w:p>
      <w:r>
        <w:t xml:space="preserve">This example shows that even with this fairly simple set of analyses, species did not respond uniformly to climatic warming following deglaciation,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This example does not examine east-west movements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2" w:name="conclusion"/>
    <w:p>
      <w:pPr>
        <w:pStyle w:val="Heading1"/>
      </w:pPr>
      <w:r>
        <w:t xml:space="preserve">Conclusion</w:t>
      </w:r>
    </w:p>
    <w:bookmarkEnd w:id="42"/>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(Uhen et al. 2013; Brewer et al. 2012; Committee 2014)</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(Simpson &amp; Oksanen 2014; Simpson 2007; Juggins 2013)</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4">
        <w:hyperlink r:id="rId43">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4" w:name="acknowledgements"/>
    <w:p>
      <w:pPr>
        <w:pStyle w:val="Heading1"/>
      </w:pPr>
      <w:r>
        <w:t xml:space="preserve">Acknowledgements</w:t>
      </w:r>
    </w:p>
    <w:bookmarkEnd w:id="44"/>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able to build.</w:t>
      </w:r>
    </w:p>
    <w:bookmarkStart w:id="45" w:name="references"/>
    <w:p>
      <w:pPr>
        <w:pStyle w:val="Heading1"/>
      </w:pPr>
      <w:r>
        <w:t xml:space="preserve">References</w:t>
      </w:r>
    </w:p>
    <w:bookmarkEnd w:id="45"/>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2010. Methods and code for ?classical?age-modelling of radiocarbon sequences.</w:t>
      </w:r>
      <w:r>
        <w:t xml:space="preserve"> </w:t>
      </w:r>
      <w:r>
        <w:rPr>
          <w:i/>
        </w:rPr>
        <w:t xml:space="preserve">Quaternary Geochronology</w:t>
      </w:r>
      <w:r>
        <w:t xml:space="preserve">, 5(5), pp.512–518.</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Committee, C.E., 2014. Paleobiology workshop report. In</w:t>
      </w:r>
      <w:r>
        <w:t xml:space="preserve"> </w:t>
      </w:r>
      <w:r>
        <w:rPr>
          <w:i/>
        </w:rPr>
        <w:t xml:space="preserve">EarthCube collaboration and cyberinfrastructure for paleogeosciences (c4P)</w:t>
      </w:r>
      <w:r>
        <w:t xml:space="preserve">. National Science Foundation EarthCube Research Coordination Network: Cyberinfrastructure for Paleogeoscience. Available at:</w:t>
      </w:r>
      <w:r>
        <w:t xml:space="preserve"> </w:t>
      </w:r>
      <w:hyperlink r:id="rId46">
        <w:r>
          <w:rPr>
            <w:rStyle w:val="Link"/>
          </w:rPr>
          <w:t xml:space="preserve">http://workspace.earthcube.org/sites/default/files/files/document-repository/C4P%20Paleogbiology%20Workshop%20Report.pdf</w:t>
        </w:r>
      </w:hyperlink>
      <w:r>
        <w:t xml:space="preserve">.</w:t>
      </w:r>
    </w:p>
    <w:p>
      <w:r>
        <w:t xml:space="preserve">Davis, M.B., 1981. Quaternary history and the stability of forest communities. In</w:t>
      </w:r>
      <w:r>
        <w:t xml:space="preserve"> </w:t>
      </w:r>
      <w:r>
        <w:rPr>
          <w:i/>
        </w:rPr>
        <w:t xml:space="preserve">Forest succession</w:t>
      </w:r>
      <w:r>
        <w:t xml:space="preserve">. Springer, pp. 132–153.</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Huntley, B.J. &amp; Webb, T., 1988.</w:t>
      </w:r>
      <w:r>
        <w:t xml:space="preserve"> </w:t>
      </w:r>
      <w:r>
        <w:rPr>
          <w:i/>
        </w:rPr>
        <w:t xml:space="preserve">Vegetation history</w:t>
      </w:r>
      <w:r>
        <w:t xml:space="preserve">, Kluwer Academic Publishers Dordrecht.</w:t>
      </w:r>
    </w:p>
    <w:p>
      <w:r>
        <w:t xml:space="preserve">Juggins, S., 2013.</w:t>
      </w:r>
      <w:r>
        <w:t xml:space="preserve"> </w:t>
      </w:r>
      <w:r>
        <w:rPr>
          <w:i/>
        </w:rPr>
        <w:t xml:space="preserve">rioja: Analysis of Quaternary science data</w:t>
      </w:r>
      <w:r>
        <w:t xml:space="preserve">, Available at:</w:t>
      </w:r>
      <w:r>
        <w:t xml:space="preserve"> </w:t>
      </w:r>
      <w:hyperlink r:id="rId47">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48">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49">
        <w:r>
          <w:rPr>
            <w:rStyle w:val="Link"/>
          </w:rPr>
          <w:t xml:space="preserve">http://www.R-project.org/</w:t>
        </w:r>
      </w:hyperlink>
      <w:r>
        <w:t xml:space="preserve">.</w:t>
      </w:r>
    </w:p>
    <w:p>
      <w:r>
        <w:t xml:space="preserve">Reichman, O., Jones, M.B. &amp; Schildhauer, M.P., 2011. Challenges and opportunities of open data in ecology.</w:t>
      </w:r>
      <w:r>
        <w:t xml:space="preserve"> </w:t>
      </w:r>
      <w:r>
        <w:rPr>
          <w:i/>
        </w:rPr>
        <w:t xml:space="preserve">Science(Washington)</w:t>
      </w:r>
      <w:r>
        <w:t xml:space="preserve">, 331(6018), pp.703–705.</w:t>
      </w:r>
    </w:p>
    <w:p>
      <w:r>
        <w:t xml:space="preserve">Schroeder, E.K. et al., 1996. Spatial response of mammals to late quaternary environmental fluctuations.</w:t>
      </w:r>
      <w:r>
        <w:t xml:space="preserve"> </w:t>
      </w:r>
      <w:r>
        <w:rPr>
          <w:i/>
        </w:rPr>
        <w:t xml:space="preserve">Science</w:t>
      </w:r>
      <w:r>
        <w:t xml:space="preserve">, 272(14).</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2014.</w:t>
      </w:r>
      <w:r>
        <w:t xml:space="preserve"> </w:t>
      </w:r>
      <w:r>
        <w:rPr>
          <w:i/>
        </w:rPr>
        <w:t xml:space="preserve">analogue: Analogue and weighted averaging methods for palaeoecology</w:t>
      </w:r>
      <w:r>
        <w:t xml:space="preserve">, Available at:</w:t>
      </w:r>
      <w:r>
        <w:t xml:space="preserve"> </w:t>
      </w:r>
      <w:hyperlink r:id="rId50">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345(1314), pp.403–432.</w:t>
      </w:r>
    </w:p>
    <w:p>
      <w:r>
        <w:t xml:space="preserve">Uhen, M.D. et al., 2013. From card catalogs to computers: databases in vertebrate paleontology.</w:t>
      </w:r>
      <w:r>
        <w:t xml:space="preserve"> </w:t>
      </w:r>
      <w:r>
        <w:rPr>
          <w:i/>
        </w:rPr>
        <w:t xml:space="preserve">Journal of Vertebrate Paleontology</w:t>
      </w:r>
      <w:r>
        <w:t xml:space="preserve">, 33(1), pp.13–28.</w:t>
      </w:r>
    </w:p>
    <w:p>
      <w:r>
        <w:t xml:space="preserve">Whitmore, J. et al., 2005. Modern pollen data from north america and greenland for multi-scale paleoenvironmental applications.</w:t>
      </w:r>
      <w:r>
        <w:t xml:space="preserve"> </w:t>
      </w:r>
      <w:r>
        <w:rPr>
          <w:i/>
        </w:rPr>
        <w:t xml:space="preserve">Quaternary Science Reviews</w:t>
      </w:r>
      <w:r>
        <w:t xml:space="preserve">, 24(16), pp.1828–1848.</w:t>
      </w:r>
    </w:p>
    <w:p>
      <w:r>
        <w:t xml:space="preserve">Williams, J. &amp; Shuman, B., 2008. Obtaining accurate and precise environmental reconstructions from the modern analog technique and north american surface pollen dataset.</w:t>
      </w:r>
      <w:r>
        <w:t xml:space="preserve"> </w:t>
      </w:r>
      <w:r>
        <w:rPr>
          <w:i/>
        </w:rPr>
        <w:t xml:space="preserve">Quaternary Science Reviews</w:t>
      </w:r>
      <w:r>
        <w:t xml:space="preserve">, 27(7), pp.669–687.</w:t>
      </w:r>
    </w:p>
    <w:p>
      <w:r>
        <w:t xml:space="preserve">Wolkovich, E.M., Regetz, J. &amp; O’Connor, M.I., 2012. Advances in global change research require open science by individual researchers.</w:t>
      </w:r>
      <w:r>
        <w:t xml:space="preserve"> </w:t>
      </w:r>
      <w:r>
        <w:rPr>
          <w:i/>
        </w:rPr>
        <w:t xml:space="preserve">Global Change Biology</w:t>
      </w:r>
      <w:r>
        <w:t xml:space="preserve">, 18(7), pp.2102–2110.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76c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 TargetMode="External" /><Relationship Type="http://schemas.openxmlformats.org/officeDocument/2006/relationships/hyperlink" Id="rId48" Target="http://CRAN.R-project.org/package=Bchron" TargetMode="External" /><Relationship Type="http://schemas.openxmlformats.org/officeDocument/2006/relationships/hyperlink" Id="rId26" Target="http://api.neotomadb.org/v1/apps/geochronologies/?datasetid=8" TargetMode="External" /><Relationship Type="http://schemas.openxmlformats.org/officeDocument/2006/relationships/hyperlink" Id="rId50" Target="http://cran.r-project.org/package=analogue" TargetMode="External" /><Relationship Type="http://schemas.openxmlformats.org/officeDocument/2006/relationships/hyperlink" Id="rId43" Target="http://github.com/ropensci/neotoma" TargetMode="External" /><Relationship Type="http://schemas.openxmlformats.org/officeDocument/2006/relationships/hyperlink" Id="rId28" Target="http://neotomadb.org" TargetMode="External" /><Relationship Type="http://schemas.openxmlformats.org/officeDocument/2006/relationships/hyperlink" Id="rId46" Target="http://workspace.earthcube.org/sites/default/files/files/document-repository/C4P%20Paleogbiology%20Workshop%20Report.pdf" TargetMode="External" /><Relationship Type="http://schemas.openxmlformats.org/officeDocument/2006/relationships/hyperlink" Id="rId49" Target="http://www.R-project.org/" TargetMode="External" /><Relationship Type="http://schemas.openxmlformats.org/officeDocument/2006/relationships/hyperlink" Id="rId23" Target="http://www.neotomadb.org" TargetMode="External" /><Relationship Type="http://schemas.openxmlformats.org/officeDocument/2006/relationships/hyperlink" Id="rId37" Target="http://www.neotomadb.org/data/category/tilia" TargetMode="External" /><Relationship Type="http://schemas.openxmlformats.org/officeDocument/2006/relationships/hyperlink" Id="rId47" Target="http://www.staff.ncl.ac.uk/staff/stephen.juggins/" TargetMode="External" /><Relationship Type="http://schemas.openxmlformats.org/officeDocument/2006/relationships/hyperlink" Id="rId40" Target="http://www.ucmp.berkeley.edu/faunmap/"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8" Target="http://CRAN.R-project.org/package=Bchron" TargetMode="External" /><Relationship Type="http://schemas.openxmlformats.org/officeDocument/2006/relationships/hyperlink" Id="rId26" Target="http://api.neotomadb.org/v1/apps/geochronologies/?datasetid=8" TargetMode="External" /><Relationship Type="http://schemas.openxmlformats.org/officeDocument/2006/relationships/hyperlink" Id="rId50" Target="http://cran.r-project.org/package=analogue" TargetMode="External" /><Relationship Type="http://schemas.openxmlformats.org/officeDocument/2006/relationships/hyperlink" Id="rId43" Target="http://github.com/ropensci/neotoma" TargetMode="External" /><Relationship Type="http://schemas.openxmlformats.org/officeDocument/2006/relationships/hyperlink" Id="rId28" Target="http://neotomadb.org" TargetMode="External" /><Relationship Type="http://schemas.openxmlformats.org/officeDocument/2006/relationships/hyperlink" Id="rId46" Target="http://workspace.earthcube.org/sites/default/files/files/document-repository/C4P%20Paleogbiology%20Workshop%20Report.pdf" TargetMode="External" /><Relationship Type="http://schemas.openxmlformats.org/officeDocument/2006/relationships/hyperlink" Id="rId49" Target="http://www.R-project.org/" TargetMode="External" /><Relationship Type="http://schemas.openxmlformats.org/officeDocument/2006/relationships/hyperlink" Id="rId23" Target="http://www.neotomadb.org" TargetMode="External" /><Relationship Type="http://schemas.openxmlformats.org/officeDocument/2006/relationships/hyperlink" Id="rId37" Target="http://www.neotomadb.org/data/category/tilia" TargetMode="External" /><Relationship Type="http://schemas.openxmlformats.org/officeDocument/2006/relationships/hyperlink" Id="rId47" Target="http://www.staff.ncl.ac.uk/staff/stephen.juggins/" TargetMode="External" /><Relationship Type="http://schemas.openxmlformats.org/officeDocument/2006/relationships/hyperlink" Id="rId40" Target="http://www.ucmp.berkeley.edu/faun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