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left"/>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莒南县</w:t>
      </w:r>
    </w:p>
    <w:p>
      <w:pPr>
        <w:widowControl/>
        <w:spacing w:line="360" w:lineRule="auto"/>
        <w:ind w:left="0" w:firstLine="0"/>
        <w:jc w:val="left"/>
        <w:rPr>
          <w:rFonts w:hint="eastAsia" w:ascii="宋体" w:hAnsi="宋体" w:eastAsia="宋体" w:cs="宋体"/>
          <w:i w:val="0"/>
          <w:caps w:val="0"/>
          <w:color w:val="auto"/>
          <w:spacing w:val="0"/>
          <w:sz w:val="24"/>
          <w:szCs w:val="24"/>
          <w:u w:val="none"/>
        </w:rPr>
      </w:pPr>
      <w:r>
        <w:rPr>
          <w:rFonts w:hint="eastAsia" w:ascii="宋体" w:hAnsi="宋体" w:eastAsia="宋体" w:cs="宋体"/>
          <w:i w:val="0"/>
          <w:caps w:val="0"/>
          <w:color w:val="auto"/>
          <w:spacing w:val="0"/>
          <w:kern w:val="0"/>
          <w:sz w:val="24"/>
          <w:szCs w:val="24"/>
          <w:u w:val="none"/>
          <w:lang w:val="en-US" w:eastAsia="zh-CN" w:bidi="ar"/>
        </w:rPr>
        <w:t>莒南县内流传的剧种大都由外地传入，</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"//baike.baidu.com/item/%E6%9F%B3%E7%90%B4/155324"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柳琴</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、弦子戏（</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"//baike.baidu.com/item/%E6%9F%B3%E5%AD%90%E6%88%8F/1729975"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柳子戏</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）为地方剧种</w:t>
      </w:r>
      <w:r>
        <w:rPr>
          <w:rFonts w:hint="eastAsia" w:ascii="宋体" w:hAnsi="宋体" w:eastAsia="宋体" w:cs="宋体"/>
          <w:i w:val="0"/>
          <w:caps w:val="0"/>
          <w:color w:val="auto"/>
          <w:spacing w:val="0"/>
          <w:kern w:val="0"/>
          <w:sz w:val="24"/>
          <w:szCs w:val="24"/>
          <w:u w:val="none"/>
          <w:lang w:val="en-US" w:eastAsia="zh-CN" w:bidi="ar"/>
        </w:rPr>
        <w:t>[35]</w:t>
      </w:r>
      <w:r>
        <w:rPr>
          <w:rFonts w:hint="eastAsia" w:ascii="宋体" w:hAnsi="宋体" w:eastAsia="宋体" w:cs="宋体"/>
          <w:i w:val="0"/>
          <w:caps w:val="0"/>
          <w:color w:val="auto"/>
          <w:spacing w:val="0"/>
          <w:kern w:val="0"/>
          <w:sz w:val="24"/>
          <w:szCs w:val="24"/>
          <w:u w:val="none"/>
          <w:lang w:val="en-US" w:eastAsia="zh-CN" w:bidi="ar"/>
        </w:rPr>
        <w:t> 。</w:t>
      </w:r>
    </w:p>
    <w:p>
      <w:pPr>
        <w:widowControl/>
        <w:spacing w:line="360" w:lineRule="auto"/>
        <w:ind w:left="0" w:firstLine="0"/>
        <w:jc w:val="left"/>
        <w:rPr>
          <w:rFonts w:hint="eastAsia" w:ascii="宋体" w:hAnsi="宋体" w:eastAsia="宋体" w:cs="宋体"/>
          <w:i w:val="0"/>
          <w:caps w:val="0"/>
          <w:color w:val="auto"/>
          <w:spacing w:val="0"/>
          <w:sz w:val="24"/>
          <w:szCs w:val="24"/>
          <w:u w:val="none"/>
        </w:rPr>
      </w:pPr>
      <w:r>
        <w:rPr>
          <w:rFonts w:hint="eastAsia" w:ascii="宋体" w:hAnsi="宋体" w:eastAsia="宋体" w:cs="宋体"/>
          <w:i w:val="0"/>
          <w:caps w:val="0"/>
          <w:color w:val="auto"/>
          <w:spacing w:val="0"/>
          <w:kern w:val="0"/>
          <w:sz w:val="24"/>
          <w:szCs w:val="24"/>
          <w:u w:val="none"/>
          <w:lang w:val="en-US" w:eastAsia="zh-CN" w:bidi="ar"/>
        </w:rPr>
        <w:t>莒南县流传的曲艺种类主要有</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"//baike.baidu.com/item/%E6%B8%94%E9%BC%93/467816"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渔鼓</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"//baike.baidu.com/item/%E8%AF%84%E8%AF%8D/12733801"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评词</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"//baike.baidu.com/item/%E7%90%B4%E4%B9%A6/4407720"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琴书</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"//baike.baidu.com/item/%E5%B1%B1%E4%B8%9C%E5%BF%AB%E4%B9%A6/940213"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山东快书</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"//baike.baidu.com/item/%E8%A5%BF%E6%B2%B3%E5%A4%A7%E9%BC%93/349284"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西河大鼓</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"//baike.baidu.com/item/%E6%95%B0%E6%9D%A5%E5%AE%9D/87225"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数来宝</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"//baike.baidu.com/item/%E7%9B%B8%E5%A3%B0/197857"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相声</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等。传统说唱曲目有《</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"//baike.baidu.com/item/%E9%87%91%E9%9E%AD%E8%AE%B0/49881640"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金鞭记</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》《杨家将》《</w:t>
      </w:r>
      <w:r>
        <w:rPr>
          <w:rFonts w:hint="eastAsia" w:ascii="宋体" w:hAnsi="宋体" w:eastAsia="宋体" w:cs="宋体"/>
          <w:i w:val="0"/>
          <w:caps w:val="0"/>
          <w:color w:val="auto"/>
          <w:spacing w:val="0"/>
          <w:kern w:val="0"/>
          <w:sz w:val="24"/>
          <w:szCs w:val="24"/>
          <w:u w:val="none"/>
          <w:lang w:val="en-US" w:eastAsia="zh-CN" w:bidi="ar"/>
        </w:rPr>
        <w:fldChar w:fldCharType="begin"/>
      </w:r>
      <w:r>
        <w:rPr>
          <w:rFonts w:hint="eastAsia" w:ascii="宋体" w:hAnsi="宋体" w:eastAsia="宋体" w:cs="宋体"/>
          <w:i w:val="0"/>
          <w:caps w:val="0"/>
          <w:color w:val="auto"/>
          <w:spacing w:val="0"/>
          <w:kern w:val="0"/>
          <w:sz w:val="24"/>
          <w:szCs w:val="24"/>
          <w:u w:val="none"/>
          <w:lang w:val="en-US" w:eastAsia="zh-CN" w:bidi="ar"/>
        </w:rPr>
        <w:instrText xml:space="preserve"> HYPERLINK "//baike.baidu.com/item/%E5%93%8D%E9%A9%AC%E4%BC%A0/9714021" </w:instrText>
      </w:r>
      <w:r>
        <w:rPr>
          <w:rFonts w:hint="eastAsia" w:ascii="宋体" w:hAnsi="宋体" w:eastAsia="宋体" w:cs="宋体"/>
          <w:i w:val="0"/>
          <w:caps w:val="0"/>
          <w:color w:val="auto"/>
          <w:spacing w:val="0"/>
          <w:kern w:val="0"/>
          <w:sz w:val="24"/>
          <w:szCs w:val="24"/>
          <w:u w:val="none"/>
          <w:lang w:val="en-US" w:eastAsia="zh-CN" w:bidi="ar"/>
        </w:rPr>
        <w:fldChar w:fldCharType="separate"/>
      </w:r>
      <w:r>
        <w:rPr>
          <w:rStyle w:val="5"/>
          <w:rFonts w:hint="eastAsia" w:ascii="宋体" w:hAnsi="宋体" w:eastAsia="宋体" w:cs="宋体"/>
          <w:i w:val="0"/>
          <w:caps w:val="0"/>
          <w:color w:val="auto"/>
          <w:spacing w:val="0"/>
          <w:sz w:val="24"/>
          <w:szCs w:val="24"/>
          <w:u w:val="none"/>
        </w:rPr>
        <w:t>响马传</w:t>
      </w:r>
      <w:r>
        <w:rPr>
          <w:rFonts w:hint="eastAsia" w:ascii="宋体" w:hAnsi="宋体" w:eastAsia="宋体" w:cs="宋体"/>
          <w:i w:val="0"/>
          <w:caps w:val="0"/>
          <w:color w:val="auto"/>
          <w:spacing w:val="0"/>
          <w:kern w:val="0"/>
          <w:sz w:val="24"/>
          <w:szCs w:val="24"/>
          <w:u w:val="none"/>
          <w:lang w:val="en-US" w:eastAsia="zh-CN" w:bidi="ar"/>
        </w:rPr>
        <w:fldChar w:fldCharType="end"/>
      </w:r>
      <w:r>
        <w:rPr>
          <w:rFonts w:hint="eastAsia" w:ascii="宋体" w:hAnsi="宋体" w:eastAsia="宋体" w:cs="宋体"/>
          <w:i w:val="0"/>
          <w:caps w:val="0"/>
          <w:color w:val="auto"/>
          <w:spacing w:val="0"/>
          <w:kern w:val="0"/>
          <w:sz w:val="24"/>
          <w:szCs w:val="24"/>
          <w:u w:val="none"/>
          <w:lang w:val="en-US" w:eastAsia="zh-CN" w:bidi="ar"/>
        </w:rPr>
        <w:t>》《包公案》《水浒》等</w:t>
      </w:r>
    </w:p>
    <w:p>
      <w:pPr>
        <w:pStyle w:val="2"/>
        <w:widowControl/>
        <w:spacing w:line="240" w:lineRule="auto"/>
        <w:ind w:left="0" w:firstLine="0"/>
        <w:jc w:val="left"/>
        <w:rPr>
          <w:rFonts w:hint="eastAsia" w:ascii="宋体" w:hAnsi="宋体" w:eastAsia="宋体" w:cs="宋体"/>
          <w:b/>
          <w:i w:val="0"/>
          <w:caps w:val="0"/>
          <w:color w:val="auto"/>
          <w:spacing w:val="0"/>
          <w:sz w:val="24"/>
          <w:szCs w:val="24"/>
          <w:u w:val="none"/>
        </w:rPr>
      </w:pPr>
      <w:r>
        <w:rPr>
          <w:rFonts w:hint="eastAsia" w:ascii="宋体" w:hAnsi="宋体" w:eastAsia="宋体" w:cs="宋体"/>
          <w:b/>
          <w:i w:val="0"/>
          <w:caps w:val="0"/>
          <w:color w:val="auto"/>
          <w:spacing w:val="0"/>
          <w:sz w:val="24"/>
          <w:szCs w:val="24"/>
          <w:u w:val="none"/>
        </w:rPr>
        <w:t>厉家寨精神</w:t>
      </w:r>
    </w:p>
    <w:p>
      <w:pPr>
        <w:pStyle w:val="2"/>
        <w:widowControl/>
        <w:spacing w:line="360" w:lineRule="auto"/>
        <w:ind w:left="0" w:firstLine="0"/>
        <w:jc w:val="left"/>
        <w:rPr>
          <w:rFonts w:hint="eastAsia" w:ascii="宋体" w:hAnsi="宋体" w:eastAsia="宋体" w:cs="宋体"/>
          <w:b w:val="0"/>
          <w:bCs/>
          <w:i w:val="0"/>
          <w:caps w:val="0"/>
          <w:color w:val="auto"/>
          <w:spacing w:val="0"/>
          <w:sz w:val="24"/>
          <w:szCs w:val="24"/>
          <w:u w:val="none"/>
        </w:rPr>
      </w:pPr>
      <w:r>
        <w:rPr>
          <w:rFonts w:hint="eastAsia" w:ascii="宋体" w:hAnsi="宋体" w:eastAsia="宋体" w:cs="宋体"/>
          <w:b w:val="0"/>
          <w:bCs/>
          <w:i w:val="0"/>
          <w:caps w:val="0"/>
          <w:color w:val="auto"/>
          <w:spacing w:val="0"/>
          <w:kern w:val="0"/>
          <w:sz w:val="24"/>
          <w:szCs w:val="24"/>
          <w:u w:val="none"/>
          <w:lang w:val="en-US" w:eastAsia="zh-CN" w:bidi="ar"/>
        </w:rPr>
        <w:t>在建设新中国的年代中，莒南人民继续发挥着优良的革命传统，并在大生产过程中积累了丰富的经验。为此，1955年，毛泽东主席对高家柳沟、王家坊前、厉家寨3个单位的典型经验作了亲笔批示；1957年毛泽东主席又对大山公社亲笔作了“愚公移山，改造中国，厉家寨是一个好例”的光辉批示</w:t>
      </w:r>
    </w:p>
    <w:p>
      <w:pPr>
        <w:rPr>
          <w:rFonts w:hint="eastAsia"/>
          <w:sz w:val="34"/>
          <w:szCs w:val="34"/>
          <w:lang w:eastAsia="zh-CN"/>
        </w:rPr>
      </w:pPr>
      <w:r>
        <w:rPr>
          <w:rFonts w:hint="eastAsia"/>
          <w:sz w:val="34"/>
          <w:szCs w:val="34"/>
          <w:lang w:eastAsia="zh-CN"/>
        </w:rPr>
        <w:drawing>
          <wp:inline distT="0" distB="0" distL="114300" distR="114300">
            <wp:extent cx="3515995" cy="4681855"/>
            <wp:effectExtent l="0" t="0" r="635" b="635"/>
            <wp:docPr id="1" name="图片 1" descr="2023-11-04 16:04:46.72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11-04 16:04:46.722000"/>
                    <pic:cNvPicPr>
                      <a:picLocks noChangeAspect="1"/>
                    </pic:cNvPicPr>
                  </pic:nvPicPr>
                  <pic:blipFill>
                    <a:blip r:embed="rId4"/>
                    <a:stretch>
                      <a:fillRect/>
                    </a:stretch>
                  </pic:blipFill>
                  <pic:spPr>
                    <a:xfrm>
                      <a:off x="0" y="0"/>
                      <a:ext cx="3515995" cy="4681855"/>
                    </a:xfrm>
                    <a:prstGeom prst="rect">
                      <a:avLst/>
                    </a:prstGeom>
                  </pic:spPr>
                </pic:pic>
              </a:graphicData>
            </a:graphic>
          </wp:inline>
        </w:drawing>
      </w:r>
    </w:p>
    <w:p>
      <w:pPr>
        <w:rPr>
          <w:rFonts w:hint="eastAsia"/>
          <w:sz w:val="34"/>
          <w:szCs w:val="34"/>
          <w:lang w:eastAsia="zh-CN"/>
        </w:rPr>
      </w:pPr>
    </w:p>
    <w:p>
      <w:pPr>
        <w:spacing w:line="360" w:lineRule="auto"/>
        <w:jc w:val="left"/>
        <w:rPr>
          <w:rFonts w:hint="eastAsia" w:ascii="宋体" w:hAnsi="宋体" w:eastAsia="宋体" w:cs="宋体"/>
          <w:i w:val="0"/>
          <w:iCs w:val="0"/>
          <w:caps w:val="0"/>
          <w:color w:val="222222"/>
          <w:spacing w:val="0"/>
          <w:sz w:val="24"/>
          <w:szCs w:val="24"/>
        </w:rPr>
      </w:pPr>
      <w:r>
        <w:rPr>
          <w:rFonts w:hint="eastAsia" w:ascii="宋体" w:hAnsi="宋体" w:eastAsia="宋体" w:cs="宋体"/>
          <w:i w:val="0"/>
          <w:iCs w:val="0"/>
          <w:caps w:val="0"/>
          <w:color w:val="222222"/>
          <w:spacing w:val="0"/>
          <w:sz w:val="24"/>
          <w:szCs w:val="24"/>
        </w:rPr>
        <w:t>沂蒙红色圣地——八路军115师司令部旧址、中共山东分局旧址、山东省政府诞生地，位于山东省临沂市莒南县大店镇。景区以丰富、详实、生动、系统的史料、实物和场景，以现代化的展示手段，全面反映了在血与火的革命战争年代老一辈无产阶级革命家带领山东军民进行艰苦卓绝的革命斗争所取得的丰功伟绩，反映了山东军民特别是沂蒙老区人民舍生忘死、参军参战、出夫支前、抢救伤员的一曲曲让人心灵震撼的史诗和凯歌。景区有115师旧址、115师纪念馆、山东省政府旧址、山东省政府成立纪念馆等，这里是集中展示抗战时期全国四大老区之——沂蒙老区的红色景区。这里有中央电视-事部与大益爱心基金联合布展的《沂蒙红嫂》展馆，该展馆是全国范围内唯一的一处最系统、最全面反映革命战争年代英雄妇女群体形象——沂蒙红嫂的展馆。</w:t>
      </w:r>
    </w:p>
    <w:p>
      <w:pPr>
        <w:spacing w:line="360" w:lineRule="auto"/>
        <w:jc w:val="left"/>
        <w:rPr>
          <w:rFonts w:hint="eastAsia" w:ascii="宋体" w:hAnsi="宋体" w:eastAsia="宋体" w:cs="宋体"/>
          <w:i w:val="0"/>
          <w:iCs w:val="0"/>
          <w:caps w:val="0"/>
          <w:color w:val="222222"/>
          <w:spacing w:val="0"/>
          <w:sz w:val="24"/>
          <w:szCs w:val="24"/>
        </w:rPr>
      </w:pPr>
      <w:r>
        <w:rPr>
          <w:rFonts w:ascii="宋体" w:hAnsi="宋体" w:eastAsia="宋体" w:cs="宋体"/>
          <w:sz w:val="24"/>
          <w:szCs w:val="24"/>
        </w:rPr>
        <w:drawing>
          <wp:inline distT="0" distB="0" distL="114300" distR="114300">
            <wp:extent cx="4514850" cy="2743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4514850" cy="2743200"/>
                    </a:xfrm>
                    <a:prstGeom prst="rect">
                      <a:avLst/>
                    </a:prstGeom>
                    <a:noFill/>
                    <a:ln w="9525">
                      <a:noFill/>
                    </a:ln>
                  </pic:spPr>
                </pic:pic>
              </a:graphicData>
            </a:graphic>
          </wp:inline>
        </w:drawing>
      </w:r>
    </w:p>
    <w:p>
      <w:pPr>
        <w:spacing w:line="360" w:lineRule="auto"/>
        <w:jc w:val="left"/>
        <w:rPr>
          <w:rFonts w:hint="eastAsia" w:ascii="宋体" w:hAnsi="宋体" w:eastAsia="宋体" w:cs="宋体"/>
          <w:i w:val="0"/>
          <w:iCs w:val="0"/>
          <w:caps w:val="0"/>
          <w:color w:val="222222"/>
          <w:spacing w:val="0"/>
          <w:sz w:val="24"/>
          <w:szCs w:val="24"/>
        </w:rPr>
      </w:pPr>
      <w:r>
        <w:rPr>
          <w:rFonts w:hint="eastAsia" w:ascii="宋体" w:hAnsi="宋体" w:eastAsia="宋体" w:cs="宋体"/>
          <w:i w:val="0"/>
          <w:iCs w:val="0"/>
          <w:caps w:val="0"/>
          <w:color w:val="222222"/>
          <w:spacing w:val="0"/>
          <w:sz w:val="24"/>
          <w:szCs w:val="24"/>
        </w:rPr>
        <w:t>华夏第一庄园——山东莒南大店庄氏庄园是古文物、古建筑，风雨鉴证600年，一个庞大的地主家族群体，产生了300多个堂号，著名的有72家堂号，是华夏第一庄园。家族中先后有8名进士、23名举人、20名拔贡、8名留洋生、300多名为官者，形成明清两代的名门望族。他们土地横跨苏、鲁、豫、皖，是“洋务”运动的参与者、“五四”运动的支持者，中国民族工商业的拓荒者和山东民族工商业的奠基者。</w:t>
      </w:r>
    </w:p>
    <w:p>
      <w:pPr>
        <w:spacing w:line="360" w:lineRule="auto"/>
        <w:jc w:val="left"/>
        <w:rPr>
          <w:rFonts w:hint="eastAsia" w:ascii="宋体" w:hAnsi="宋体" w:eastAsia="宋体" w:cs="宋体"/>
          <w:i w:val="0"/>
          <w:iCs w:val="0"/>
          <w:caps w:val="0"/>
          <w:color w:val="222222"/>
          <w:spacing w:val="0"/>
          <w:sz w:val="24"/>
          <w:szCs w:val="24"/>
          <w:lang w:eastAsia="zh-CN"/>
        </w:rPr>
      </w:pPr>
      <w:r>
        <w:rPr>
          <w:rFonts w:ascii="宋体" w:hAnsi="宋体" w:eastAsia="宋体" w:cs="宋体"/>
          <w:sz w:val="24"/>
          <w:szCs w:val="24"/>
        </w:rPr>
        <w:drawing>
          <wp:inline distT="0" distB="0" distL="114300" distR="114300">
            <wp:extent cx="4514850" cy="451485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4514850" cy="451485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djYjc2MTZlZGIzM2FjMzhhZjY5YmFjYjg1MjgxNmIifQ=="/>
  </w:docVars>
  <w:rsids>
    <w:rsidRoot w:val="00000000"/>
    <w:rsid w:val="654D68E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2023-11-04T16:03:00Z</dcterms:created>
  <dc:creator>iPhone</dc:creator>
  <cp:lastModifiedBy>西袖</cp:lastModifiedBy>
  <dcterms:modified xsi:type="dcterms:W3CDTF">2023-11-20T08:53:40Z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95AB759F4E20F544D9FA4565C87EFB6D_31</vt:lpwstr>
  </property>
</Properties>
</file>