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ascii="宋体" w:hAnsi="宋体" w:eastAsia="宋体" w:cs="宋体"/>
          <w:i w:val="0"/>
          <w:iCs w:val="0"/>
          <w:caps w:val="0"/>
          <w:color w:val="000000"/>
          <w:spacing w:val="0"/>
          <w:sz w:val="14"/>
          <w:szCs w:val="14"/>
          <w:shd w:val="clear" w:fill="FFFFFF"/>
        </w:rPr>
        <w:t>铁道游击队旧址位于枣庄市市中区龙山街道办事处。年代为抗日战争时期。 2006年12月7日，铁道游击队旧址被山东省人民政府公布为山东省第三批省级文物保护单位。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2YTgzM2NmN2JmM2RjNWEyYjljYzVjMTQ2MWQxMGMifQ=="/>
  </w:docVars>
  <w:rsids>
    <w:rsidRoot w:val="00000000"/>
    <w:rsid w:val="08861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2023-10-27T00:52:02Z</dcterms:created>
  <dc:creator>陈皓玥</dc:creator>
  <cp:lastModifiedBy>WPS_1573632875</cp:lastModifiedBy>
  <dcterms:modified xsi:type="dcterms:W3CDTF">2023-10-27T01:04:43Z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FFCE2CC608AE443BA092C9B6BFF386CD_12</vt:lpwstr>
  </property>
</Properties>
</file>