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76" w:rsidRPr="006C26ED" w:rsidRDefault="006D3EEF" w:rsidP="006C26ED">
      <w:pPr>
        <w:pStyle w:val="a9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:rsidR="006C26ED" w:rsidRDefault="006C26ED" w:rsidP="00913C2D">
      <w:pPr>
        <w:pStyle w:val="1"/>
      </w:pPr>
    </w:p>
    <w:p w:rsidR="00E13ACC" w:rsidRDefault="00BF2210" w:rsidP="00913C2D">
      <w:pPr>
        <w:pStyle w:val="1"/>
      </w:pPr>
      <w:r>
        <w:t>Abstract</w:t>
      </w:r>
    </w:p>
    <w:p w:rsidR="00913C2D" w:rsidRPr="00913C2D" w:rsidRDefault="00913C2D" w:rsidP="00913C2D">
      <w:pPr>
        <w:rPr>
          <w:rFonts w:hint="eastAsia"/>
        </w:rPr>
      </w:pPr>
    </w:p>
    <w:p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:rsidR="00BF2210" w:rsidRDefault="00BF2210" w:rsidP="00BF2210"/>
    <w:p w:rsidR="002A3885" w:rsidRDefault="002A3885" w:rsidP="00BF2210"/>
    <w:p w:rsidR="002A3885" w:rsidRDefault="006C26ED" w:rsidP="006C26ED">
      <w:r>
        <w:t xml:space="preserve"> </w:t>
      </w: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F866C4" w:rsidP="00F866C4">
      <w:pPr>
        <w:pStyle w:val="1"/>
      </w:pPr>
      <w:r>
        <w:lastRenderedPageBreak/>
        <w:t xml:space="preserve">Introduction </w:t>
      </w:r>
    </w:p>
    <w:p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>benchmark</w:t>
      </w:r>
      <w:r w:rsidR="005E6C16">
        <w:t xml:space="preserve">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 xml:space="preserve">In this paper, our goal is to construct a portfolio to track S&amp;P 500 in a structure of fund of funds (FoF) </w:t>
      </w:r>
      <w:r w:rsidR="0054357A">
        <w:t xml:space="preserve">by </w:t>
      </w:r>
      <w:r w:rsidR="0054357A">
        <w:t xml:space="preserve">using cointegration analysis. </w:t>
      </w:r>
      <w:r w:rsidR="0054357A">
        <w:t>As a</w:t>
      </w:r>
      <w:r w:rsidR="00C43945">
        <w:t>n</w:t>
      </w:r>
      <w:r w:rsidR="0054357A">
        <w:t xml:space="preserve"> approach of synthetic tracking portfolio</w:t>
      </w:r>
      <w:r w:rsidR="0054357A">
        <w:t>, w</w:t>
      </w:r>
      <w:r w:rsidR="0054357A">
        <w:t>e</w:t>
      </w:r>
      <w:r w:rsidR="0054357A">
        <w:t xml:space="preserve"> buy sector ETFs to mimic index</w:t>
      </w:r>
      <w:r w:rsidR="0054357A">
        <w:t>.</w:t>
      </w:r>
      <w:r w:rsidR="0054357A">
        <w:t xml:space="preserve">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</w:t>
      </w:r>
      <w:r w:rsidR="0054357A">
        <w:t xml:space="preserve"> 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>
      <w:bookmarkStart w:id="0" w:name="_GoBack"/>
      <w:bookmarkEnd w:id="0"/>
    </w:p>
    <w:p w:rsidR="00F866C4" w:rsidRDefault="00A04CB3" w:rsidP="00F866C4">
      <w:pPr>
        <w:pStyle w:val="1"/>
      </w:pPr>
      <w:r>
        <w:lastRenderedPageBreak/>
        <w:t xml:space="preserve">Statement of Problem </w:t>
      </w:r>
    </w:p>
    <w:p w:rsidR="00A04CB3" w:rsidRDefault="00A04CB3" w:rsidP="00A04CB3"/>
    <w:p w:rsidR="00334980" w:rsidRPr="002A6B85" w:rsidRDefault="00334980" w:rsidP="002A6B85">
      <w:pPr>
        <w:rPr>
          <w:rFonts w:ascii="Calibri" w:hAnsi="Calibri" w:cs="Calibri"/>
          <w:lang w:val="en-US"/>
        </w:rPr>
      </w:pPr>
      <w:r>
        <w:t>There are 11 individual sectors under S&amp;P 500</w:t>
      </w:r>
      <w:r w:rsidR="002A6B85">
        <w:t>, Consumer Discretionary,</w:t>
      </w:r>
      <w:r w:rsidR="002A6B85" w:rsidRPr="002A6B85">
        <w:rPr>
          <w:rFonts w:ascii="Calibri" w:hAnsi="Calibri" w:cs="Calibri"/>
          <w:lang w:val="en-US"/>
        </w:rPr>
        <w:t xml:space="preserve"> </w:t>
      </w:r>
      <w:r w:rsidR="002A6B85">
        <w:rPr>
          <w:rFonts w:ascii="Calibri" w:hAnsi="Calibri" w:cs="Calibri"/>
          <w:lang w:val="en-US"/>
        </w:rPr>
        <w:t>Consumer Staples</w:t>
      </w:r>
      <w:r w:rsidR="002A6B85">
        <w:rPr>
          <w:rFonts w:ascii="Calibri" w:hAnsi="Calibri" w:cs="Calibri"/>
          <w:lang w:val="en-US"/>
        </w:rPr>
        <w:t xml:space="preserve">, </w:t>
      </w:r>
      <w:r w:rsidR="002A6B85">
        <w:rPr>
          <w:rFonts w:ascii="Calibri" w:hAnsi="Calibri" w:cs="Calibri"/>
          <w:lang w:val="en-US"/>
        </w:rPr>
        <w:t>Utilities</w:t>
      </w:r>
      <w:r w:rsidR="002A6B85">
        <w:rPr>
          <w:rFonts w:ascii="Calibri" w:hAnsi="Calibri" w:cs="Calibri"/>
          <w:lang w:val="en-US"/>
        </w:rPr>
        <w:t xml:space="preserve">, </w:t>
      </w:r>
      <w:r w:rsidR="002A6B85">
        <w:rPr>
          <w:rFonts w:ascii="Calibri" w:hAnsi="Calibri" w:cs="Calibri"/>
          <w:lang w:val="en-US"/>
        </w:rPr>
        <w:t>Technology</w:t>
      </w:r>
      <w:r w:rsidR="002A6B85">
        <w:rPr>
          <w:rFonts w:ascii="Calibri" w:hAnsi="Calibri" w:cs="Calibri"/>
          <w:lang w:val="en-US"/>
        </w:rPr>
        <w:t xml:space="preserve">, </w:t>
      </w:r>
      <w:r w:rsidR="002A6B85">
        <w:rPr>
          <w:rFonts w:ascii="Calibri" w:hAnsi="Calibri" w:cs="Calibri"/>
          <w:lang w:val="en-US"/>
        </w:rPr>
        <w:t>Health Care</w:t>
      </w:r>
      <w:r w:rsidR="002A6B85">
        <w:rPr>
          <w:rFonts w:ascii="Calibri" w:hAnsi="Calibri" w:cs="Calibri"/>
          <w:lang w:val="en-US"/>
        </w:rPr>
        <w:t xml:space="preserve">, </w:t>
      </w:r>
      <w:r w:rsidR="002A6B85">
        <w:rPr>
          <w:rFonts w:ascii="Calibri" w:hAnsi="Calibri" w:cs="Calibri"/>
          <w:lang w:val="en-US"/>
        </w:rPr>
        <w:t>Financial</w:t>
      </w:r>
      <w:r w:rsidR="002A6B85">
        <w:rPr>
          <w:rFonts w:ascii="Calibri" w:hAnsi="Calibri" w:cs="Calibri"/>
          <w:lang w:val="en-US"/>
        </w:rPr>
        <w:t xml:space="preserve">, </w:t>
      </w:r>
      <w:r w:rsidR="002A6B85">
        <w:rPr>
          <w:rFonts w:ascii="Calibri" w:hAnsi="Calibri" w:cs="Calibri"/>
          <w:lang w:val="en-US"/>
        </w:rPr>
        <w:t>Energy</w:t>
      </w:r>
      <w:r w:rsidR="002A6B85" w:rsidRPr="002A6B85">
        <w:t xml:space="preserve"> </w:t>
      </w:r>
      <w:r w:rsidR="002A6B85">
        <w:rPr>
          <w:rFonts w:ascii="Calibri" w:hAnsi="Calibri" w:cs="Calibri"/>
          <w:lang w:val="en-US"/>
        </w:rPr>
        <w:t xml:space="preserve">Telecom, Industrials, Material, </w:t>
      </w:r>
      <w:r w:rsidR="002A6B85" w:rsidRPr="002A6B85">
        <w:rPr>
          <w:rFonts w:ascii="Calibri" w:hAnsi="Calibri" w:cs="Calibri"/>
          <w:lang w:val="en-US"/>
        </w:rPr>
        <w:t>Real Estate</w:t>
      </w:r>
      <w:r w:rsidR="00EC0093">
        <w:rPr>
          <w:rFonts w:ascii="Calibri" w:hAnsi="Calibri" w:cs="Calibri"/>
          <w:lang w:val="en-US"/>
        </w:rPr>
        <w:t xml:space="preserve">. </w:t>
      </w:r>
    </w:p>
    <w:p w:rsidR="00A04CB3" w:rsidRDefault="00A04CB3" w:rsidP="00A04CB3"/>
    <w:p w:rsidR="00A04CB3" w:rsidRDefault="00A04CB3" w:rsidP="00A04CB3"/>
    <w:p w:rsidR="00A04CB3" w:rsidRDefault="00A04CB3" w:rsidP="00A04CB3"/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our knowledge, we realize that there should be a relationship between various macroeconomics indicators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credit card delinquency rate, however, we do not know how the economic variables a_ect the delinquency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rate quantitatively. Therefore, in this paper, we are going to discover how the credit card delinquency rate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explained by a set of macroeconomics factors and explore the determinant one through empirical analysis.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select a set of _ve explanatory variables are civilian unemployment rate, the interest rate on credit card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plans, real disposable personal income, total consumer credit, using the time series data from the US. These</w:t>
      </w:r>
    </w:p>
    <w:p w:rsidR="00334980" w:rsidRDefault="00334980" w:rsidP="003349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four independent variables are able to reect the job market situation, total debt level of credit supply, and</w:t>
      </w:r>
    </w:p>
    <w:p w:rsidR="00A04CB3" w:rsidRDefault="00334980" w:rsidP="00334980">
      <w:r>
        <w:rPr>
          <w:rFonts w:ascii="CMR10" w:hAnsi="CMR10" w:cs="CMR10"/>
          <w:sz w:val="20"/>
          <w:szCs w:val="20"/>
        </w:rPr>
        <w:t>the repayment ability. And the four variables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>
      <w:pPr>
        <w:pStyle w:val="1"/>
      </w:pPr>
      <w:r>
        <w:t>Literature Review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Research Design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Default="00A04CB3" w:rsidP="00A04CB3">
      <w:pPr>
        <w:pStyle w:val="1"/>
      </w:pPr>
      <w:r>
        <w:t>References</w:t>
      </w:r>
    </w:p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Default="00A04CB3" w:rsidP="00A04CB3"/>
    <w:p w:rsidR="00A04CB3" w:rsidRPr="00A04CB3" w:rsidRDefault="00A04CB3" w:rsidP="00A04CB3"/>
    <w:p w:rsidR="00A04CB3" w:rsidRPr="00A04CB3" w:rsidRDefault="00A04CB3" w:rsidP="00A04CB3">
      <w:pPr>
        <w:pStyle w:val="1"/>
      </w:pPr>
    </w:p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Default="002A3885" w:rsidP="00BF2210"/>
    <w:p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50C" w:rsidRDefault="002E550C" w:rsidP="002F461D">
      <w:pPr>
        <w:spacing w:after="0" w:line="240" w:lineRule="auto"/>
      </w:pPr>
      <w:r>
        <w:separator/>
      </w:r>
    </w:p>
  </w:endnote>
  <w:endnote w:type="continuationSeparator" w:id="0">
    <w:p w:rsidR="002E550C" w:rsidRDefault="002E550C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50C" w:rsidRDefault="002E550C" w:rsidP="002F461D">
      <w:pPr>
        <w:spacing w:after="0" w:line="240" w:lineRule="auto"/>
      </w:pPr>
      <w:r>
        <w:separator/>
      </w:r>
    </w:p>
  </w:footnote>
  <w:footnote w:type="continuationSeparator" w:id="0">
    <w:p w:rsidR="002E550C" w:rsidRDefault="002E550C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CC"/>
    <w:rsid w:val="00045376"/>
    <w:rsid w:val="00045ED8"/>
    <w:rsid w:val="001162A8"/>
    <w:rsid w:val="00182294"/>
    <w:rsid w:val="00207227"/>
    <w:rsid w:val="002A3885"/>
    <w:rsid w:val="002A6B85"/>
    <w:rsid w:val="002C004E"/>
    <w:rsid w:val="002D7A41"/>
    <w:rsid w:val="002E550C"/>
    <w:rsid w:val="002F461D"/>
    <w:rsid w:val="00310918"/>
    <w:rsid w:val="00334980"/>
    <w:rsid w:val="003354CC"/>
    <w:rsid w:val="003460F3"/>
    <w:rsid w:val="0039696A"/>
    <w:rsid w:val="003B68B1"/>
    <w:rsid w:val="003C711C"/>
    <w:rsid w:val="004336E2"/>
    <w:rsid w:val="00492C60"/>
    <w:rsid w:val="00504578"/>
    <w:rsid w:val="00525F04"/>
    <w:rsid w:val="0054357A"/>
    <w:rsid w:val="00573A33"/>
    <w:rsid w:val="005C4503"/>
    <w:rsid w:val="005D2106"/>
    <w:rsid w:val="005E2302"/>
    <w:rsid w:val="005E6C16"/>
    <w:rsid w:val="005F290B"/>
    <w:rsid w:val="0060758C"/>
    <w:rsid w:val="00690CEA"/>
    <w:rsid w:val="006A2034"/>
    <w:rsid w:val="006C26ED"/>
    <w:rsid w:val="006D3EEF"/>
    <w:rsid w:val="006F0795"/>
    <w:rsid w:val="00761C80"/>
    <w:rsid w:val="0078633F"/>
    <w:rsid w:val="00853780"/>
    <w:rsid w:val="008D2B43"/>
    <w:rsid w:val="008E3DD6"/>
    <w:rsid w:val="00913C2D"/>
    <w:rsid w:val="00935A13"/>
    <w:rsid w:val="00A04CB3"/>
    <w:rsid w:val="00AD602F"/>
    <w:rsid w:val="00B17959"/>
    <w:rsid w:val="00BB0A21"/>
    <w:rsid w:val="00BB6DC9"/>
    <w:rsid w:val="00BE5F72"/>
    <w:rsid w:val="00BF2210"/>
    <w:rsid w:val="00C43945"/>
    <w:rsid w:val="00C46795"/>
    <w:rsid w:val="00C6257D"/>
    <w:rsid w:val="00C708AE"/>
    <w:rsid w:val="00CB1EB9"/>
    <w:rsid w:val="00CB2AA9"/>
    <w:rsid w:val="00D21C7B"/>
    <w:rsid w:val="00D37958"/>
    <w:rsid w:val="00DE54C3"/>
    <w:rsid w:val="00E13ACC"/>
    <w:rsid w:val="00E222B5"/>
    <w:rsid w:val="00E62D02"/>
    <w:rsid w:val="00E82AC6"/>
    <w:rsid w:val="00EC0093"/>
    <w:rsid w:val="00EE0C3B"/>
    <w:rsid w:val="00F2663F"/>
    <w:rsid w:val="00F33609"/>
    <w:rsid w:val="00F77452"/>
    <w:rsid w:val="00F866C4"/>
    <w:rsid w:val="00FB357D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20049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461D"/>
  </w:style>
  <w:style w:type="paragraph" w:styleId="a5">
    <w:name w:val="footer"/>
    <w:basedOn w:val="a"/>
    <w:link w:val="a6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461D"/>
  </w:style>
  <w:style w:type="paragraph" w:styleId="a7">
    <w:name w:val="Normal (Web)"/>
    <w:basedOn w:val="a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866C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65</cp:revision>
  <dcterms:created xsi:type="dcterms:W3CDTF">2018-03-04T18:55:00Z</dcterms:created>
  <dcterms:modified xsi:type="dcterms:W3CDTF">2018-04-02T04:32:00Z</dcterms:modified>
</cp:coreProperties>
</file>