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Screen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Screen 对象包含有关客户端显示屏幕的信息。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没有应用于 screen 对象的公开标准，不过所有浏览器都支持该对象。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Screen 对象属性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"http://www.w3school.com.cn/jsref/prop_screen_availheight.asp"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availHeight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返回显示屏幕的高度 (除 Windows 任务栏之外)。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"http://www.w3school.com.cn/jsref/prop_screen_availwidth.asp"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availWidth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返回显示屏幕的宽度 (除 Windows 任务栏之外)。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"http://www.w3school.com.cn/jsref/prop_screen_bufferdepth.asp"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bufferDepth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设置或返回调色板的比特深度。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"http://www.w3school.com.cn/jsref/prop_screen_colordepth.asp"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colorDepth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返回目标设备或缓冲器上的调色板的比特深度。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"http://www.w3school.com.cn/jsref/prop_screen_devicexdpi.asp"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deviceXDPI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返回显示屏幕的每英寸水平点数。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"http://www.w3school.com.cn/jsref/prop_screen_deviceydpi.asp"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deviceYDPI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返回显示屏幕的每英寸垂直点数。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"http://www.w3school.com.cn/jsref/prop_screen_fontsmoothingenabled.asp"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fontSmoothingEnabled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返回用户是否在显示控制面板中启用了字体平滑。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"http://www.w3school.com.cn/jsref/prop_screen_logicalxdpi.asp"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logicalXDPI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返回显示屏幕每英寸的水平方向的常规点数。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"http://www.w3school.com.cn/jsref/prop_screen_logicalydpi.asp"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logicalYDPI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返回显示屏幕每英寸的垂直方向的常规点数。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"http://www.w3school.com.cn/jsref/prop_screen_pixeldepth.asp"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pixelDepth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返回显示屏幕的颜色分辨率（比特每像素）。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"http://www.w3school.com.cn/jsref/prop_screen_updateinterval.asp"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updateInterval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设置或返回屏幕的刷新率。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"http://www.w3school.com.cn/jsref/prop_screen_width.asp"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返回显示器屏幕的宽度。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66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