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每个载入浏览器的 HTML 文档都会成为 Document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Document 对象使我们可以从脚本中对 HTML 页面中的所有元素进行访问。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FF9955"/>
          <w:spacing w:val="0"/>
          <w:sz w:val="21"/>
          <w:szCs w:val="21"/>
          <w:bdr w:val="none" w:color="auto" w:sz="0" w:space="0"/>
          <w:shd w:val="clear" w:fill="FDFCF8"/>
        </w:rPr>
        <w:t>提示：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Document 对象是 Window 对象的一部分，可通过 window.document 属性对其进行访问。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对象集合</w:t>
      </w:r>
    </w:p>
    <w:tbl>
      <w:tblPr>
        <w:tblW w:w="8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7"/>
        <w:gridCol w:w="6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3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集合</w:t>
            </w:r>
          </w:p>
        </w:tc>
        <w:tc>
          <w:tcPr>
            <w:tcW w:w="65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"http://www.w3school.com.cn/jsref/coll_doc_all.asp"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all[]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提供对文档中所有 HTML 元素的访问。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"http://www.w3school.com.cn/jsref/coll_doc_anchors.asp"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anchors[]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返回对文档中所有 Anchor 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applets</w:t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返回对文档中所有 Applet 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"http://www.w3school.com.cn/jsref/coll_doc_forms.asp"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forms[]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返回对文档中所有 Form 对象引用。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"http://www.w3school.com.cn/jsref/coll_doc_images.asp"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images[]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返回对文档中所有 Image 对象引用。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"http://www.w3school.com.cn/jsref/coll_doc_links.asp"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links[]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返回对文档中所有 Area 和 Link 对象引用。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对象属性</w:t>
      </w:r>
    </w:p>
    <w:tbl>
      <w:tblPr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9"/>
        <w:gridCol w:w="6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27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10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4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</w:pPr>
            <w:r>
              <w:rPr>
                <w:bdr w:val="none" w:color="auto" w:sz="0" w:space="0"/>
              </w:rPr>
              <w:t>提供对 &lt;body&gt; 元素的直接访问。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</w:pPr>
            <w:r>
              <w:rPr>
                <w:bdr w:val="none" w:color="auto" w:sz="0" w:space="0"/>
              </w:rPr>
              <w:t>对于定义了框架集的文档，该属性引用最外层的 &lt;frameset&gt;。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"http://www.w3school.com.cn/jsref/prop_doc_cookie.asp"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cookie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设置或返回与当前文档有关的所有 cookie。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"http://www.w3school.com.cn/jsref/prop_doc_domain.asp"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domain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返回当前文档的域名。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"http://www.w3school.com.cn/jsref/prop_doc_lastmodified.asp"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lastModified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返回文档被最后修改的日期和时间。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"http://www.w3school.com.cn/jsref/prop_doc_referrer.asp"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referrer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返回载入当前文档的文档的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"http://www.w3school.com.cn/jsref/prop_doc_title.asp"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title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返回当前文档的标题。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"http://www.w3school.com.cn/jsref/prop_doc_url.asp"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URL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返回当前文档的 URL。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Document 对象方法</w:t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5"/>
        <w:gridCol w:w="5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06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54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"http://www.w3school.com.cn/jsref/met_doc_close.asp"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close()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关闭用 document.open() 方法打开的输出流，并显示选定的数据。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"http://www.w3school.com.cn/jsref/met_doc_getelementbyid.asp"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getElementById()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返回对拥有指定 id 的第一个对象的引用。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"http://www.w3school.com.cn/jsref/met_doc_getelementsbyname.asp"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getElementsByName()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返回带有指定名称的对象集合。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"http://www.w3school.com.cn/jsref/met_doc_getelementsbytagname.asp"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getElementsByTagName()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返回带有指定标签名的对象集合。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8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"http://www.w3school.com.cn/jsref/met_doc_open.asp"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open()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打开一个流，以收集来自任何 document.write() 或 docum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ent.writeln() 方法的输出。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"http://www.w3school.com.cn/jsref/met_doc_write.asp"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write()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向文档写 HTML 表达式 或 JavaScript 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3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"http://www.w3school.com.cn/jsref/met_doc_writeln.asp"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writeln()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等同于 write() 方法，不同的是在每个表达式之后写一个换行符。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01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