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try 和 catch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try 和 catch</w:t>
      </w:r>
      <w:r>
        <w:rPr>
          <w:rFonts w:hint="eastAsia" w:ascii="微软雅黑" w:hAnsi="微软雅黑" w:eastAsia="微软雅黑" w:cs="微软雅黑"/>
          <w:lang w:val="en-US" w:eastAsia="zh-CN"/>
        </w:rPr>
        <w:t>用于捕获错误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 语句 try 和 catch 是成对出现的。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try{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//在这里运行代码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catch(err)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//在这里处理错误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Throw 语句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throw </w:t>
      </w:r>
      <w:r>
        <w:rPr>
          <w:rFonts w:hint="eastAsia" w:ascii="微软雅黑" w:hAnsi="微软雅黑" w:eastAsia="微软雅黑" w:cs="微软雅黑"/>
          <w:lang w:val="en-US" w:eastAsia="zh-CN"/>
        </w:rPr>
        <w:t>抛出错误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throw exception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实例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&lt;script&gt;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myFunction()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try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{ 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var x=document.getElementById("demo").value;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if(x=="")    throw "empty";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if(x&lt;5)      throw "too low";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catch(err)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var y=document.getElementById("mess");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y.innerHTML="Error: " + err + ".";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84D48"/>
    <w:rsid w:val="6BB077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