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服务器响应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如需获得来自服务器的响应，请使用 XMLHttpRequest 对象的 responseText 或 responseXML 属性。</w:t>
      </w:r>
    </w:p>
    <w:tbl>
      <w:tblPr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6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016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424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2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responseText</w:t>
            </w:r>
          </w:p>
        </w:tc>
        <w:tc>
          <w:tcPr>
            <w:tcW w:w="64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获得字符串形式的响应数据。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responseXML</w:t>
            </w:r>
          </w:p>
        </w:tc>
        <w:tc>
          <w:tcPr>
            <w:tcW w:w="64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获得 XML 形式的响应数据。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responseText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如果来自服务器的响应并非 XML，请使用 responseText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responseText 属性返回字符串形式的响应，因此您可以这样使用：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document.getElementById("myDiv").innerHTML=xmlhttp.responseText;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responseXML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如果来自服务器的响应是 XML，而且需要作为 XML 对象进行解析，请使用 responseXML 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请求 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</w:rPr>
        <w:instrText xml:space="preserve"> HYPERLINK "https://www.w3cschool.cn/statics/demosource/cd_catalog.xml" \t "https://www.w3cschool.cn/ajax/_blank" </w:instrTex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</w:rPr>
        <w:t>cd_catalog.xml</w:t>
      </w:r>
      <w:r>
        <w:rPr>
          <w:rFonts w:hint="default" w:ascii="Verdana" w:hAnsi="Verdana" w:cs="Verdana"/>
          <w:b w:val="0"/>
          <w:i w:val="0"/>
          <w:caps w:val="0"/>
          <w:color w:val="900B09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文件，并解析响应：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xmlDoc=xmlhttp.responseXML;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txt="";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x=xmlDoc.getElementsByTagName("ARTIST");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 (i=0;i&lt;x.length;i++)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txt=txt + x[i].childNodes[0].nodeValue + "&lt;br&gt;";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document.getElementById("myDiv").innerHTML=txt;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91863"/>
    <w:rsid w:val="39812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